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szCs w:val="32"/>
          <w:highlight w:val="none"/>
          <w:u w:val="double" w:color="auto"/>
        </w:rPr>
        <w:t>谈判</w:t>
      </w:r>
      <w:r>
        <w:rPr>
          <w:rFonts w:hint="eastAsia" w:ascii="宋体" w:hAnsi="宋体" w:cs="宋体"/>
          <w:color w:val="auto"/>
          <w:szCs w:val="32"/>
          <w:highlight w:val="none"/>
        </w:rPr>
        <w:t>公告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第2次）</w:t>
      </w:r>
    </w:p>
    <w:p>
      <w:pPr>
        <w:pageBreakBefore w:val="0"/>
        <w:kinsoku/>
        <w:wordWrap/>
        <w:overflowPunct/>
        <w:topLinePunct w:val="0"/>
        <w:autoSpaceDE/>
        <w:autoSpaceDN/>
        <w:bidi w:val="0"/>
        <w:adjustRightInd/>
        <w:snapToGrid/>
        <w:spacing w:line="380" w:lineRule="exact"/>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项目名称：中国石油</w:t>
      </w:r>
      <w:r>
        <w:rPr>
          <w:rFonts w:hint="eastAsia" w:ascii="宋体" w:hAnsi="宋体" w:cs="宋体"/>
          <w:b/>
          <w:color w:val="auto"/>
          <w:sz w:val="21"/>
          <w:szCs w:val="21"/>
          <w:highlight w:val="none"/>
          <w:lang w:val="en-US" w:eastAsia="zh-CN"/>
        </w:rPr>
        <w:t>昆仑物流有限</w:t>
      </w:r>
      <w:r>
        <w:rPr>
          <w:rFonts w:hint="eastAsia" w:ascii="宋体" w:hAnsi="宋体" w:cs="宋体"/>
          <w:b/>
          <w:color w:val="auto"/>
          <w:sz w:val="21"/>
          <w:szCs w:val="21"/>
          <w:highlight w:val="none"/>
        </w:rPr>
        <w:t>公司</w:t>
      </w:r>
      <w:r>
        <w:rPr>
          <w:rFonts w:hint="eastAsia" w:ascii="宋体" w:hAnsi="宋体" w:cs="宋体"/>
          <w:b/>
          <w:color w:val="auto"/>
          <w:sz w:val="21"/>
          <w:szCs w:val="21"/>
          <w:highlight w:val="none"/>
          <w:lang w:val="en-US" w:eastAsia="zh-CN"/>
        </w:rPr>
        <w:t>山东</w:t>
      </w:r>
      <w:r>
        <w:rPr>
          <w:rFonts w:hint="eastAsia" w:ascii="宋体" w:hAnsi="宋体" w:cs="宋体"/>
          <w:b/>
          <w:color w:val="auto"/>
          <w:sz w:val="21"/>
          <w:szCs w:val="21"/>
          <w:highlight w:val="none"/>
        </w:rPr>
        <w:t>分公司</w:t>
      </w:r>
      <w:r>
        <w:rPr>
          <w:rFonts w:hint="eastAsia" w:ascii="宋体" w:hAnsi="宋体" w:cs="宋体"/>
          <w:b/>
          <w:color w:val="auto"/>
          <w:sz w:val="21"/>
          <w:szCs w:val="21"/>
          <w:highlight w:val="none"/>
          <w:lang w:val="en-US" w:eastAsia="zh-CN"/>
        </w:rPr>
        <w:t>泰安交运专线配送服务项目</w:t>
      </w:r>
    </w:p>
    <w:p>
      <w:pPr>
        <w:pageBreakBefore w:val="0"/>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b/>
          <w:color w:val="auto"/>
          <w:sz w:val="21"/>
          <w:szCs w:val="21"/>
          <w:highlight w:val="none"/>
        </w:rPr>
        <w:t>项目编号：</w:t>
      </w:r>
      <w:r>
        <w:rPr>
          <w:rFonts w:hint="eastAsia" w:ascii="宋体" w:hAnsi="宋体" w:cs="宋体"/>
          <w:color w:val="auto"/>
          <w:sz w:val="21"/>
          <w:szCs w:val="21"/>
          <w:highlight w:val="none"/>
          <w:u w:val="double"/>
          <w:lang w:val="en-US" w:eastAsia="zh-CN"/>
        </w:rPr>
        <w:t>GYC-2025-502-FW</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一、采购</w:t>
      </w:r>
      <w:r>
        <w:rPr>
          <w:rFonts w:hint="eastAsia" w:ascii="宋体" w:hAnsi="宋体" w:cs="宋体"/>
          <w:b/>
          <w:color w:val="auto"/>
          <w:szCs w:val="21"/>
          <w:highlight w:val="none"/>
        </w:rPr>
        <w:t>条件</w:t>
      </w:r>
    </w:p>
    <w:p>
      <w:pPr>
        <w:pStyle w:val="12"/>
        <w:pageBreakBefore w:val="0"/>
        <w:kinsoku/>
        <w:wordWrap/>
        <w:overflowPunct/>
        <w:topLinePunct w:val="0"/>
        <w:autoSpaceDE/>
        <w:autoSpaceDN/>
        <w:bidi w:val="0"/>
        <w:adjustRightInd/>
        <w:snapToGrid/>
        <w:spacing w:line="380" w:lineRule="exact"/>
        <w:ind w:left="0" w:leftChars="0" w:firstLine="420" w:firstLineChars="0"/>
        <w:textAlignment w:val="auto"/>
        <w:rPr>
          <w:rFonts w:hint="eastAsia" w:ascii="宋体" w:hAnsi="宋体" w:cs="宋体"/>
          <w:color w:val="auto"/>
          <w:kern w:val="0"/>
          <w:szCs w:val="21"/>
        </w:rPr>
      </w:pPr>
      <w:r>
        <w:rPr>
          <w:rFonts w:hint="eastAsia" w:ascii="宋体" w:hAnsi="宋体" w:cs="宋体"/>
          <w:color w:val="auto"/>
          <w:kern w:val="0"/>
          <w:szCs w:val="21"/>
          <w:u w:val="single"/>
        </w:rPr>
        <w:t>本项目由分公司自筹资金</w:t>
      </w:r>
      <w:r>
        <w:rPr>
          <w:rFonts w:hint="eastAsia" w:ascii="宋体" w:hAnsi="宋体" w:cs="宋体"/>
          <w:color w:val="auto"/>
          <w:kern w:val="0"/>
          <w:szCs w:val="21"/>
        </w:rPr>
        <w:t>。</w:t>
      </w:r>
    </w:p>
    <w:p>
      <w:pPr>
        <w:keepNext w:val="0"/>
        <w:keepLines w:val="0"/>
        <w:pageBreakBefore w:val="0"/>
        <w:widowControl/>
        <w:kinsoku/>
        <w:wordWrap/>
        <w:overflowPunct/>
        <w:topLinePunct w:val="0"/>
        <w:autoSpaceDE/>
        <w:autoSpaceDN/>
        <w:bidi w:val="0"/>
        <w:adjustRightInd/>
        <w:snapToGrid/>
        <w:spacing w:line="400" w:lineRule="exact"/>
        <w:ind w:firstLine="319" w:firstLineChars="152"/>
        <w:jc w:val="left"/>
        <w:textAlignment w:val="auto"/>
        <w:rPr>
          <w:rFonts w:ascii="宋体" w:hAnsi="宋体" w:cs="宋体"/>
          <w:kern w:val="0"/>
          <w:szCs w:val="21"/>
          <w:highlight w:val="none"/>
        </w:rPr>
      </w:pPr>
      <w:r>
        <w:rPr>
          <w:rFonts w:hint="eastAsia" w:ascii="宋体" w:hAnsi="宋体" w:cs="宋体"/>
          <w:kern w:val="0"/>
          <w:szCs w:val="21"/>
          <w:highlight w:val="none"/>
        </w:rPr>
        <w:t>本项目拟采取</w:t>
      </w:r>
      <w:r>
        <w:rPr>
          <w:rFonts w:hint="eastAsia" w:ascii="宋体" w:hAnsi="宋体" w:cs="宋体"/>
          <w:kern w:val="0"/>
          <w:szCs w:val="21"/>
          <w:highlight w:val="none"/>
          <w:u w:val="single"/>
        </w:rPr>
        <w:t xml:space="preserve">  </w:t>
      </w:r>
      <w:r>
        <w:rPr>
          <w:rFonts w:hint="eastAsia" w:ascii="宋体" w:hAnsi="宋体" w:cs="宋体"/>
          <w:color w:val="auto"/>
          <w:kern w:val="0"/>
          <w:szCs w:val="21"/>
          <w:highlight w:val="none"/>
          <w:u w:val="single"/>
        </w:rPr>
        <w:t xml:space="preserve">谈判采购（公告方式 ） </w:t>
      </w:r>
      <w:r>
        <w:rPr>
          <w:rFonts w:hint="eastAsia" w:ascii="宋体" w:hAnsi="宋体" w:cs="宋体"/>
          <w:color w:val="auto"/>
          <w:kern w:val="0"/>
          <w:szCs w:val="21"/>
          <w:highlight w:val="none"/>
        </w:rPr>
        <w:t>方</w:t>
      </w:r>
      <w:r>
        <w:rPr>
          <w:rFonts w:hint="eastAsia" w:ascii="宋体" w:hAnsi="宋体" w:cs="宋体"/>
          <w:kern w:val="0"/>
          <w:szCs w:val="21"/>
          <w:highlight w:val="none"/>
        </w:rPr>
        <w:t>式进行采购。</w:t>
      </w:r>
    </w:p>
    <w:p>
      <w:pPr>
        <w:pStyle w:val="13"/>
        <w:ind w:firstLine="420"/>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项目基本情况</w:t>
      </w:r>
    </w:p>
    <w:p>
      <w:pPr>
        <w:spacing w:line="400" w:lineRule="exact"/>
        <w:ind w:firstLine="420" w:firstLineChars="200"/>
        <w:rPr>
          <w:rFonts w:ascii="宋体" w:hAnsi="宋体" w:cs="宋体"/>
          <w:kern w:val="0"/>
          <w:szCs w:val="21"/>
          <w:highlight w:val="none"/>
        </w:rPr>
      </w:pPr>
      <w:bookmarkStart w:id="0" w:name="_Toc309246786"/>
      <w:bookmarkStart w:id="1" w:name="_Toc309305499"/>
      <w:bookmarkStart w:id="2" w:name="_Toc25785"/>
      <w:bookmarkStart w:id="3" w:name="_Toc309244628"/>
      <w:bookmarkStart w:id="4" w:name="_Toc309246654"/>
      <w:r>
        <w:rPr>
          <w:rFonts w:hint="eastAsia" w:ascii="方正宋黑简体" w:hAnsi="方正宋黑简体" w:eastAsia="方正宋黑简体" w:cs="方正宋黑简体"/>
          <w:kern w:val="0"/>
          <w:szCs w:val="21"/>
          <w:highlight w:val="none"/>
        </w:rPr>
        <w:t>（</w:t>
      </w:r>
      <w:r>
        <w:rPr>
          <w:rFonts w:hint="eastAsia" w:ascii="方正宋黑简体" w:hAnsi="方正宋黑简体" w:eastAsia="方正宋黑简体" w:cs="方正宋黑简体"/>
          <w:kern w:val="0"/>
          <w:szCs w:val="21"/>
          <w:highlight w:val="none"/>
          <w:lang w:val="en-US" w:eastAsia="zh-CN"/>
        </w:rPr>
        <w:t>一</w:t>
      </w:r>
      <w:r>
        <w:rPr>
          <w:rFonts w:hint="eastAsia" w:ascii="方正宋黑简体" w:hAnsi="方正宋黑简体" w:eastAsia="方正宋黑简体" w:cs="方正宋黑简体"/>
          <w:kern w:val="0"/>
          <w:szCs w:val="21"/>
          <w:highlight w:val="none"/>
        </w:rPr>
        <w:t>）</w:t>
      </w:r>
      <w:r>
        <w:rPr>
          <w:rFonts w:hint="eastAsia" w:ascii="宋体" w:hAnsi="宋体" w:cs="宋体"/>
          <w:kern w:val="0"/>
          <w:szCs w:val="21"/>
          <w:highlight w:val="none"/>
        </w:rPr>
        <w:t xml:space="preserve"> 项目基本情况介绍：</w:t>
      </w:r>
    </w:p>
    <w:p>
      <w:pPr>
        <w:spacing w:line="400" w:lineRule="exact"/>
        <w:ind w:firstLine="420" w:firstLineChars="200"/>
        <w:rPr>
          <w:rFonts w:hint="eastAsia" w:ascii="宋体" w:hAnsi="宋体" w:cs="宋体"/>
          <w:kern w:val="0"/>
          <w:szCs w:val="21"/>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项目内容：本项目主要</w:t>
      </w:r>
      <w:r>
        <w:rPr>
          <w:rFonts w:hint="eastAsia" w:ascii="宋体" w:hAnsi="宋体" w:cs="宋体"/>
          <w:kern w:val="0"/>
          <w:szCs w:val="21"/>
          <w:highlight w:val="none"/>
          <w:lang w:val="en-US" w:eastAsia="zh-CN"/>
        </w:rPr>
        <w:t>为中</w:t>
      </w:r>
      <w:r>
        <w:rPr>
          <w:rFonts w:hint="eastAsia" w:ascii="宋体" w:hAnsi="宋体" w:cs="宋体"/>
          <w:kern w:val="0"/>
          <w:szCs w:val="21"/>
        </w:rPr>
        <w:t>国石油昆仑物流有限公司山东分公司（（以下简称分公司）各加油站</w:t>
      </w:r>
      <w:r>
        <w:rPr>
          <w:rFonts w:hint="eastAsia" w:ascii="宋体" w:hAnsi="宋体" w:cs="宋体"/>
          <w:kern w:val="0"/>
          <w:szCs w:val="21"/>
          <w:lang w:val="en-US" w:eastAsia="zh-CN"/>
        </w:rPr>
        <w:t>开展</w:t>
      </w:r>
      <w:r>
        <w:rPr>
          <w:rFonts w:hint="eastAsia" w:ascii="宋体" w:hAnsi="宋体" w:cs="宋体"/>
          <w:kern w:val="0"/>
          <w:szCs w:val="21"/>
        </w:rPr>
        <w:t>配送业务。</w:t>
      </w:r>
    </w:p>
    <w:p>
      <w:pPr>
        <w:spacing w:line="400" w:lineRule="exact"/>
        <w:ind w:firstLine="420" w:firstLineChars="200"/>
        <w:rPr>
          <w:rFonts w:hint="eastAsia"/>
          <w:highlight w:val="none"/>
          <w:u w:val="singl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本项目预计实施时间：</w:t>
      </w:r>
      <w:r>
        <w:rPr>
          <w:rFonts w:hint="eastAsia"/>
          <w:highlight w:val="none"/>
          <w:u w:val="single"/>
        </w:rPr>
        <w:t xml:space="preserve">  预计</w:t>
      </w:r>
      <w:r>
        <w:rPr>
          <w:rFonts w:hint="eastAsia"/>
          <w:highlight w:val="none"/>
          <w:u w:val="single"/>
          <w:lang w:val="en-US" w:eastAsia="zh-CN"/>
        </w:rPr>
        <w:t>2025</w:t>
      </w:r>
      <w:r>
        <w:rPr>
          <w:rFonts w:hint="eastAsia"/>
          <w:highlight w:val="none"/>
          <w:u w:val="single"/>
        </w:rPr>
        <w:t>年</w:t>
      </w:r>
      <w:r>
        <w:rPr>
          <w:rFonts w:hint="eastAsia"/>
          <w:highlight w:val="none"/>
          <w:u w:val="single"/>
          <w:lang w:val="en-US" w:eastAsia="zh-CN"/>
        </w:rPr>
        <w:t>11</w:t>
      </w:r>
      <w:r>
        <w:rPr>
          <w:rFonts w:hint="eastAsia"/>
          <w:highlight w:val="none"/>
          <w:u w:val="single"/>
        </w:rPr>
        <w:t>月开始实施。</w:t>
      </w:r>
    </w:p>
    <w:p>
      <w:pPr>
        <w:widowControl/>
        <w:spacing w:line="400" w:lineRule="exact"/>
        <w:ind w:firstLine="420" w:firstLineChars="200"/>
        <w:jc w:val="left"/>
        <w:rPr>
          <w:rFonts w:hint="eastAsia" w:ascii="方正仿宋简体" w:hAnsi="宋体" w:eastAsia="方正仿宋简体" w:cs="宋体"/>
          <w:kern w:val="0"/>
          <w:sz w:val="28"/>
          <w:szCs w:val="28"/>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 xml:space="preserve"> 采购单位：</w:t>
      </w:r>
      <w:r>
        <w:rPr>
          <w:rFonts w:hint="eastAsia" w:ascii="宋体" w:hAnsi="宋体" w:cs="宋体"/>
          <w:kern w:val="0"/>
          <w:szCs w:val="21"/>
          <w:u w:val="single"/>
        </w:rPr>
        <w:t>中国石油昆仑物流有限公司山东分公司</w:t>
      </w:r>
      <w:r>
        <w:rPr>
          <w:rFonts w:hint="eastAsia" w:ascii="方正仿宋简体" w:hAnsi="宋体" w:eastAsia="方正仿宋简体" w:cs="宋体"/>
          <w:kern w:val="0"/>
          <w:sz w:val="28"/>
          <w:szCs w:val="28"/>
          <w:highlight w:val="none"/>
          <w:u w:val="single"/>
        </w:rPr>
        <w:t>　　</w:t>
      </w:r>
      <w:r>
        <w:rPr>
          <w:rFonts w:hint="eastAsia" w:ascii="方正仿宋简体" w:hAnsi="宋体" w:eastAsia="方正仿宋简体" w:cs="宋体"/>
          <w:kern w:val="0"/>
          <w:sz w:val="28"/>
          <w:szCs w:val="28"/>
          <w:highlight w:val="none"/>
        </w:rPr>
        <w:t>；</w:t>
      </w:r>
    </w:p>
    <w:p>
      <w:pPr>
        <w:widowControl/>
        <w:spacing w:line="400" w:lineRule="exact"/>
        <w:ind w:firstLine="420" w:firstLineChars="200"/>
        <w:jc w:val="left"/>
        <w:rPr>
          <w:rFonts w:hint="eastAsia" w:ascii="方正仿宋简体" w:hAnsi="宋体" w:eastAsia="方正仿宋简体" w:cs="宋体"/>
          <w:b/>
          <w:kern w:val="0"/>
          <w:sz w:val="28"/>
          <w:szCs w:val="28"/>
          <w:highlight w:val="none"/>
          <w:u w:val="singl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 承办人</w:t>
      </w:r>
      <w:r>
        <w:rPr>
          <w:rFonts w:hint="eastAsia" w:ascii="方正仿宋简体" w:hAnsi="宋体" w:eastAsia="方正仿宋简体" w:cs="宋体"/>
          <w:kern w:val="0"/>
          <w:sz w:val="28"/>
          <w:szCs w:val="28"/>
          <w:highlight w:val="none"/>
        </w:rPr>
        <w:t>：</w:t>
      </w:r>
      <w:r>
        <w:rPr>
          <w:rFonts w:hint="eastAsia" w:ascii="方正仿宋简体" w:hAnsi="宋体" w:eastAsia="方正仿宋简体" w:cs="宋体"/>
          <w:b/>
          <w:kern w:val="0"/>
          <w:sz w:val="28"/>
          <w:szCs w:val="28"/>
          <w:highlight w:val="none"/>
          <w:u w:val="single"/>
        </w:rPr>
        <w:t xml:space="preserve">   </w:t>
      </w:r>
      <w:r>
        <w:rPr>
          <w:rFonts w:hint="eastAsia" w:ascii="宋体" w:hAnsi="宋体" w:cs="宋体"/>
          <w:kern w:val="0"/>
          <w:szCs w:val="21"/>
          <w:u w:val="single"/>
        </w:rPr>
        <w:t>王丽娜</w:t>
      </w:r>
      <w:r>
        <w:rPr>
          <w:rFonts w:hint="eastAsia" w:ascii="方正仿宋简体" w:hAnsi="宋体" w:eastAsia="方正仿宋简体" w:cs="宋体"/>
          <w:b/>
          <w:kern w:val="0"/>
          <w:sz w:val="28"/>
          <w:szCs w:val="28"/>
          <w:highlight w:val="none"/>
          <w:u w:val="single"/>
        </w:rPr>
        <w:t xml:space="preserve">     </w:t>
      </w:r>
      <w:r>
        <w:rPr>
          <w:rFonts w:hint="eastAsia" w:ascii="方正仿宋简体" w:hAnsi="宋体" w:eastAsia="方正仿宋简体" w:cs="宋体"/>
          <w:b/>
          <w:kern w:val="0"/>
          <w:sz w:val="28"/>
          <w:szCs w:val="28"/>
          <w:highlight w:val="none"/>
        </w:rPr>
        <w:t>；</w:t>
      </w:r>
    </w:p>
    <w:p>
      <w:pPr>
        <w:widowControl/>
        <w:spacing w:line="400" w:lineRule="exact"/>
        <w:ind w:firstLine="707" w:firstLineChars="337"/>
        <w:jc w:val="left"/>
        <w:rPr>
          <w:rFonts w:hint="eastAsia" w:ascii="方正仿宋简体" w:hAnsi="宋体" w:eastAsia="方正仿宋简体" w:cs="宋体"/>
          <w:kern w:val="0"/>
          <w:sz w:val="28"/>
          <w:szCs w:val="28"/>
          <w:highlight w:val="none"/>
        </w:rPr>
      </w:pPr>
      <w:r>
        <w:rPr>
          <w:rFonts w:hint="eastAsia" w:ascii="宋体" w:hAnsi="宋体" w:cs="宋体"/>
          <w:kern w:val="0"/>
          <w:szCs w:val="21"/>
          <w:highlight w:val="none"/>
        </w:rPr>
        <w:t>联系方式</w:t>
      </w:r>
      <w:r>
        <w:rPr>
          <w:rFonts w:hint="eastAsia" w:ascii="方正仿宋简体" w:hAnsi="宋体" w:eastAsia="方正仿宋简体" w:cs="宋体"/>
          <w:kern w:val="0"/>
          <w:sz w:val="28"/>
          <w:szCs w:val="28"/>
          <w:highlight w:val="none"/>
        </w:rPr>
        <w:t>：</w:t>
      </w:r>
      <w:r>
        <w:rPr>
          <w:rFonts w:hint="eastAsia" w:ascii="方正仿宋简体" w:hAnsi="宋体" w:eastAsia="方正仿宋简体" w:cs="宋体"/>
          <w:kern w:val="0"/>
          <w:sz w:val="28"/>
          <w:szCs w:val="28"/>
          <w:highlight w:val="none"/>
          <w:u w:val="single"/>
        </w:rPr>
        <w:t>　</w:t>
      </w:r>
      <w:r>
        <w:rPr>
          <w:rFonts w:hint="eastAsia" w:ascii="宋体" w:hAnsi="宋体" w:cs="宋体"/>
          <w:kern w:val="0"/>
          <w:szCs w:val="21"/>
          <w:u w:val="single"/>
        </w:rPr>
        <w:t>18653139291</w:t>
      </w:r>
      <w:r>
        <w:rPr>
          <w:rFonts w:hint="eastAsia" w:ascii="方正仿宋简体" w:hAnsi="宋体" w:eastAsia="方正仿宋简体" w:cs="宋体"/>
          <w:kern w:val="0"/>
          <w:sz w:val="28"/>
          <w:szCs w:val="28"/>
          <w:highlight w:val="none"/>
          <w:u w:val="single"/>
        </w:rPr>
        <w:t>　　</w:t>
      </w:r>
      <w:r>
        <w:rPr>
          <w:rFonts w:hint="eastAsia" w:ascii="方正仿宋简体" w:hAnsi="宋体" w:eastAsia="方正仿宋简体" w:cs="宋体"/>
          <w:kern w:val="0"/>
          <w:sz w:val="28"/>
          <w:szCs w:val="28"/>
          <w:highlight w:val="none"/>
        </w:rPr>
        <w:t>。</w:t>
      </w:r>
    </w:p>
    <w:p>
      <w:pPr>
        <w:widowControl/>
        <w:numPr>
          <w:ilvl w:val="0"/>
          <w:numId w:val="0"/>
        </w:numPr>
        <w:spacing w:line="400" w:lineRule="exact"/>
        <w:ind w:firstLine="420" w:firstLineChars="200"/>
        <w:jc w:val="left"/>
        <w:rPr>
          <w:rFonts w:hint="eastAsia" w:ascii="宋体" w:hAnsi="宋体" w:eastAsia="宋体" w:cs="宋体"/>
          <w:color w:val="auto"/>
          <w:kern w:val="0"/>
          <w:szCs w:val="21"/>
          <w:highlight w:val="none"/>
          <w:lang w:val="en-US" w:eastAsia="zh-CN"/>
        </w:rPr>
      </w:pPr>
    </w:p>
    <w:p>
      <w:pPr>
        <w:pageBreakBefore w:val="0"/>
        <w:kinsoku/>
        <w:wordWrap/>
        <w:overflowPunct/>
        <w:topLinePunct w:val="0"/>
        <w:autoSpaceDE/>
        <w:autoSpaceDN/>
        <w:bidi w:val="0"/>
        <w:adjustRightInd/>
        <w:snapToGrid/>
        <w:spacing w:line="380" w:lineRule="exact"/>
        <w:ind w:firstLine="210" w:firstLineChars="100"/>
        <w:textAlignment w:val="auto"/>
        <w:rPr>
          <w:rFonts w:hint="eastAsia" w:ascii="方正宋黑简体" w:hAnsi="方正宋黑简体" w:eastAsia="方正宋黑简体" w:cs="方正宋黑简体"/>
          <w:kern w:val="0"/>
          <w:szCs w:val="21"/>
          <w:highlight w:val="none"/>
        </w:rPr>
      </w:pPr>
      <w:r>
        <w:rPr>
          <w:rFonts w:hint="eastAsia" w:ascii="方正宋黑简体" w:hAnsi="方正宋黑简体" w:eastAsia="方正宋黑简体" w:cs="方正宋黑简体"/>
          <w:kern w:val="0"/>
          <w:szCs w:val="21"/>
          <w:highlight w:val="none"/>
        </w:rPr>
        <w:t>（二）预估采购金额</w:t>
      </w:r>
    </w:p>
    <w:p>
      <w:pPr>
        <w:spacing w:line="400" w:lineRule="exact"/>
        <w:ind w:firstLine="420" w:firstLineChars="200"/>
        <w:rPr>
          <w:rFonts w:hint="eastAsia" w:ascii="宋体" w:hAnsi="宋体" w:cs="宋体"/>
          <w:szCs w:val="21"/>
          <w:highlight w:val="none"/>
        </w:rPr>
      </w:pPr>
      <w:r>
        <w:rPr>
          <w:rFonts w:hint="eastAsia"/>
          <w:highlight w:val="none"/>
        </w:rPr>
        <w:t>计划资金：</w:t>
      </w:r>
      <w:r>
        <w:rPr>
          <w:rFonts w:hint="eastAsia"/>
          <w:highlight w:val="none"/>
          <w:u w:val="single"/>
        </w:rPr>
        <w:t xml:space="preserve">  </w:t>
      </w:r>
      <w:r>
        <w:rPr>
          <w:rFonts w:hint="eastAsia"/>
          <w:highlight w:val="none"/>
          <w:u w:val="single"/>
          <w:lang w:val="en-US" w:eastAsia="zh-CN"/>
        </w:rPr>
        <w:t>60</w:t>
      </w:r>
      <w:r>
        <w:rPr>
          <w:rFonts w:hint="eastAsia"/>
          <w:highlight w:val="none"/>
          <w:u w:val="single"/>
        </w:rPr>
        <w:t xml:space="preserve"> </w:t>
      </w:r>
      <w:r>
        <w:rPr>
          <w:rFonts w:hint="eastAsia"/>
          <w:highlight w:val="none"/>
        </w:rPr>
        <w:t>万元</w:t>
      </w:r>
      <w:r>
        <w:rPr>
          <w:rFonts w:ascii="宋体" w:hAnsi="宋体"/>
          <w:color w:val="FF0000"/>
          <w:szCs w:val="21"/>
          <w:highlight w:val="none"/>
          <w:u w:val="single"/>
        </w:rPr>
        <w:t>（</w:t>
      </w:r>
      <w:r>
        <w:rPr>
          <w:rFonts w:ascii="宋体" w:hAnsi="宋体"/>
          <w:szCs w:val="21"/>
          <w:highlight w:val="none"/>
          <w:u w:val="single"/>
        </w:rPr>
        <w:sym w:font="Wingdings 2" w:char="0052"/>
      </w:r>
      <w:r>
        <w:rPr>
          <w:rFonts w:ascii="宋体" w:hAnsi="宋体"/>
          <w:szCs w:val="21"/>
          <w:highlight w:val="none"/>
          <w:u w:val="single"/>
        </w:rPr>
        <w:t>含增值税；□不含增值税）</w:t>
      </w:r>
      <w:r>
        <w:rPr>
          <w:rFonts w:hint="eastAsia"/>
          <w:highlight w:val="none"/>
        </w:rPr>
        <w:t>。</w:t>
      </w:r>
    </w:p>
    <w:p>
      <w:pPr>
        <w:pStyle w:val="11"/>
        <w:rPr>
          <w:rFonts w:hint="eastAsia"/>
          <w:highlight w:val="none"/>
          <w:lang w:val="en-US" w:eastAsia="zh-CN"/>
        </w:rPr>
      </w:pPr>
    </w:p>
    <w:p>
      <w:pPr>
        <w:pageBreakBefore w:val="0"/>
        <w:numPr>
          <w:ilvl w:val="0"/>
          <w:numId w:val="1"/>
        </w:numPr>
        <w:kinsoku/>
        <w:wordWrap/>
        <w:overflowPunct/>
        <w:topLinePunct w:val="0"/>
        <w:autoSpaceDE/>
        <w:autoSpaceDN/>
        <w:bidi w:val="0"/>
        <w:adjustRightInd/>
        <w:snapToGrid/>
        <w:spacing w:line="380" w:lineRule="exact"/>
        <w:ind w:firstLine="210" w:firstLineChars="100"/>
        <w:textAlignment w:val="auto"/>
        <w:rPr>
          <w:rFonts w:hint="eastAsia" w:ascii="方正宋黑简体" w:hAnsi="方正宋黑简体" w:eastAsia="方正宋黑简体" w:cs="方正宋黑简体"/>
          <w:kern w:val="0"/>
          <w:szCs w:val="21"/>
          <w:highlight w:val="none"/>
          <w:lang w:val="en-US" w:eastAsia="zh-CN"/>
        </w:rPr>
      </w:pPr>
      <w:r>
        <w:rPr>
          <w:rFonts w:hint="eastAsia" w:ascii="方正宋黑简体" w:hAnsi="方正宋黑简体" w:eastAsia="方正宋黑简体" w:cs="方正宋黑简体"/>
          <w:kern w:val="0"/>
          <w:szCs w:val="21"/>
          <w:highlight w:val="none"/>
          <w:lang w:val="en-US" w:eastAsia="zh-CN"/>
        </w:rPr>
        <w:t>采购范围</w:t>
      </w:r>
    </w:p>
    <w:p>
      <w:pPr>
        <w:spacing w:line="400" w:lineRule="exact"/>
        <w:ind w:firstLine="436" w:firstLineChars="200"/>
        <w:rPr>
          <w:rFonts w:hint="eastAsia" w:ascii="宋体" w:hAnsi="宋体" w:eastAsia="宋体" w:cs="宋体"/>
          <w:kern w:val="0"/>
          <w:szCs w:val="21"/>
          <w:lang w:eastAsia="zh-CN"/>
        </w:rPr>
      </w:pPr>
      <w:r>
        <w:rPr>
          <w:rFonts w:hint="eastAsia" w:ascii="宋体" w:hAnsi="宋体" w:cs="宋体"/>
          <w:spacing w:val="4"/>
          <w:kern w:val="0"/>
          <w:szCs w:val="21"/>
          <w:highlight w:val="none"/>
        </w:rPr>
        <w:t xml:space="preserve">1. </w:t>
      </w:r>
      <w:r>
        <w:rPr>
          <w:rFonts w:hint="eastAsia" w:ascii="宋体" w:hAnsi="宋体" w:cs="宋体"/>
          <w:kern w:val="0"/>
          <w:szCs w:val="21"/>
          <w:highlight w:val="none"/>
        </w:rPr>
        <w:t>采购</w:t>
      </w:r>
      <w:r>
        <w:rPr>
          <w:rFonts w:hint="eastAsia" w:ascii="宋体" w:hAnsi="宋体" w:cs="宋体"/>
          <w:spacing w:val="4"/>
          <w:kern w:val="0"/>
          <w:szCs w:val="21"/>
          <w:highlight w:val="none"/>
        </w:rPr>
        <w:t>范围为：</w:t>
      </w:r>
      <w:r>
        <w:rPr>
          <w:rFonts w:hint="eastAsia" w:ascii="宋体" w:hAnsi="宋体" w:cs="宋体"/>
          <w:spacing w:val="4"/>
          <w:kern w:val="0"/>
          <w:szCs w:val="21"/>
          <w:highlight w:val="none"/>
          <w:u w:val="single"/>
        </w:rPr>
        <w:t xml:space="preserve"> </w:t>
      </w:r>
      <w:r>
        <w:rPr>
          <w:rFonts w:hint="eastAsia" w:ascii="宋体" w:hAnsi="宋体" w:cs="宋体"/>
          <w:kern w:val="0"/>
          <w:szCs w:val="21"/>
          <w:u w:val="single"/>
        </w:rPr>
        <w:t>符合条件的运输物流企业，为中国石油昆仑物流有限公司山东分公司提供成品油运输，具体以实际发生为准</w:t>
      </w:r>
      <w:r>
        <w:rPr>
          <w:rFonts w:hint="eastAsia" w:ascii="宋体" w:hAnsi="宋体" w:cs="宋体"/>
          <w:kern w:val="0"/>
          <w:szCs w:val="21"/>
          <w:u w:val="single"/>
          <w:lang w:eastAsia="zh-CN"/>
        </w:rPr>
        <w:t>，</w:t>
      </w:r>
      <w:r>
        <w:rPr>
          <w:rFonts w:hint="eastAsia" w:ascii="宋体" w:hAnsi="宋体" w:cs="宋体"/>
          <w:kern w:val="0"/>
          <w:szCs w:val="21"/>
          <w:u w:val="single"/>
          <w:lang w:val="en-US" w:eastAsia="zh-CN"/>
        </w:rPr>
        <w:t>采购</w:t>
      </w:r>
      <w:r>
        <w:rPr>
          <w:rFonts w:hint="eastAsia" w:ascii="宋体" w:hAnsi="宋体" w:eastAsia="宋体" w:cs="宋体"/>
          <w:color w:val="auto"/>
          <w:kern w:val="0"/>
          <w:szCs w:val="21"/>
          <w:highlight w:val="none"/>
          <w:u w:val="single"/>
        </w:rPr>
        <w:t>人不承诺、不保证最低工作量</w:t>
      </w:r>
      <w:r>
        <w:rPr>
          <w:rFonts w:hint="eastAsia" w:ascii="宋体" w:hAnsi="宋体" w:eastAsia="宋体" w:cs="宋体"/>
          <w:color w:val="auto"/>
          <w:kern w:val="0"/>
          <w:szCs w:val="21"/>
          <w:highlight w:val="none"/>
          <w:u w:val="single"/>
          <w:lang w:eastAsia="zh-CN"/>
        </w:rPr>
        <w:t>。</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 标段（标包）划分：</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tbl>
      <w:tblPr>
        <w:tblStyle w:val="20"/>
        <w:tblW w:w="4226" w:type="pct"/>
        <w:tblInd w:w="0" w:type="dxa"/>
        <w:tblLayout w:type="autofit"/>
        <w:tblCellMar>
          <w:top w:w="0" w:type="dxa"/>
          <w:left w:w="0" w:type="dxa"/>
          <w:bottom w:w="0" w:type="dxa"/>
          <w:right w:w="0" w:type="dxa"/>
        </w:tblCellMar>
      </w:tblPr>
      <w:tblGrid>
        <w:gridCol w:w="1652"/>
        <w:gridCol w:w="2980"/>
        <w:gridCol w:w="1417"/>
        <w:gridCol w:w="1352"/>
      </w:tblGrid>
      <w:tr>
        <w:tblPrEx>
          <w:tblCellMar>
            <w:top w:w="0" w:type="dxa"/>
            <w:left w:w="0" w:type="dxa"/>
            <w:bottom w:w="0" w:type="dxa"/>
            <w:right w:w="0" w:type="dxa"/>
          </w:tblCellMar>
        </w:tblPrEx>
        <w:trPr>
          <w:trHeight w:val="480" w:hRule="atLeast"/>
        </w:trPr>
        <w:tc>
          <w:tcPr>
            <w:tcW w:w="11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承运介质</w:t>
            </w:r>
          </w:p>
        </w:tc>
        <w:tc>
          <w:tcPr>
            <w:tcW w:w="201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服务区域</w:t>
            </w:r>
          </w:p>
        </w:tc>
        <w:tc>
          <w:tcPr>
            <w:tcW w:w="95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项目金额</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（万元）</w:t>
            </w:r>
          </w:p>
        </w:tc>
        <w:tc>
          <w:tcPr>
            <w:tcW w:w="91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成交人</w:t>
            </w:r>
            <w:r>
              <w:rPr>
                <w:rFonts w:hint="eastAsia" w:ascii="宋体" w:hAnsi="宋体" w:cs="宋体"/>
                <w:color w:val="000000"/>
                <w:kern w:val="0"/>
                <w:sz w:val="20"/>
                <w:szCs w:val="20"/>
                <w:highlight w:val="none"/>
                <w:lang w:bidi="ar"/>
              </w:rPr>
              <w:t>数量</w:t>
            </w:r>
          </w:p>
        </w:tc>
      </w:tr>
      <w:tr>
        <w:tblPrEx>
          <w:tblCellMar>
            <w:top w:w="0" w:type="dxa"/>
            <w:left w:w="0" w:type="dxa"/>
            <w:bottom w:w="0" w:type="dxa"/>
            <w:right w:w="0" w:type="dxa"/>
          </w:tblCellMar>
        </w:tblPrEx>
        <w:trPr>
          <w:trHeight w:val="740" w:hRule="atLeast"/>
        </w:trPr>
        <w:tc>
          <w:tcPr>
            <w:tcW w:w="11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成品油</w:t>
            </w:r>
          </w:p>
        </w:tc>
        <w:tc>
          <w:tcPr>
            <w:tcW w:w="201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kern w:val="0"/>
                <w:szCs w:val="21"/>
                <w:highlight w:val="none"/>
                <w:u w:val="single"/>
              </w:rPr>
              <w:t xml:space="preserve"> </w:t>
            </w:r>
            <w:r>
              <w:rPr>
                <w:rFonts w:hint="eastAsia" w:ascii="宋体" w:hAnsi="宋体" w:cs="宋体"/>
                <w:kern w:val="0"/>
                <w:szCs w:val="21"/>
                <w:u w:val="single"/>
              </w:rPr>
              <w:t>泰安周边油库至泰安交运各加油站</w:t>
            </w:r>
          </w:p>
        </w:tc>
        <w:tc>
          <w:tcPr>
            <w:tcW w:w="95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60</w:t>
            </w:r>
          </w:p>
        </w:tc>
        <w:tc>
          <w:tcPr>
            <w:tcW w:w="91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1</w:t>
            </w:r>
            <w:r>
              <w:rPr>
                <w:rFonts w:hint="eastAsia" w:ascii="宋体" w:hAnsi="宋体" w:cs="宋体"/>
                <w:color w:val="000000"/>
                <w:kern w:val="0"/>
                <w:sz w:val="20"/>
                <w:szCs w:val="20"/>
                <w:highlight w:val="none"/>
                <w:lang w:bidi="ar"/>
              </w:rPr>
              <w:t>家</w:t>
            </w:r>
          </w:p>
        </w:tc>
      </w:tr>
    </w:tbl>
    <w:p>
      <w:pPr>
        <w:spacing w:line="400" w:lineRule="exact"/>
        <w:ind w:firstLine="630" w:firstLineChars="300"/>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szCs w:val="21"/>
          <w:highlight w:val="none"/>
        </w:rPr>
        <w:t xml:space="preserve"> 服务地点：</w:t>
      </w:r>
      <w:r>
        <w:rPr>
          <w:rFonts w:hint="eastAsia" w:ascii="宋体" w:hAnsi="宋体" w:cs="宋体"/>
          <w:kern w:val="0"/>
          <w:szCs w:val="21"/>
          <w:highlight w:val="none"/>
          <w:u w:val="single"/>
        </w:rPr>
        <w:t xml:space="preserve">     </w:t>
      </w:r>
      <w:r>
        <w:rPr>
          <w:rFonts w:hint="eastAsia" w:ascii="宋体" w:hAnsi="宋体" w:cs="宋体"/>
          <w:kern w:val="0"/>
          <w:szCs w:val="21"/>
          <w:u w:val="single"/>
        </w:rPr>
        <w:t>泰安周边油库至泰安交运各加油站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 服务期限：自</w:t>
      </w:r>
      <w:r>
        <w:rPr>
          <w:rFonts w:hint="eastAsia" w:ascii="宋体" w:hAnsi="宋体" w:cs="宋体"/>
          <w:szCs w:val="21"/>
          <w:highlight w:val="none"/>
          <w:u w:val="single"/>
          <w:lang w:val="en-US" w:eastAsia="zh-CN"/>
        </w:rPr>
        <w:t>2026</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1</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2026</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6</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30</w:t>
      </w:r>
      <w:r>
        <w:rPr>
          <w:rFonts w:hint="eastAsia" w:ascii="宋体" w:hAnsi="宋体" w:cs="宋体"/>
          <w:szCs w:val="21"/>
          <w:highlight w:val="none"/>
        </w:rPr>
        <w:t>日。</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rPr>
        <w:t>5. 本项目拟</w:t>
      </w:r>
      <w:r>
        <w:rPr>
          <w:rFonts w:hint="eastAsia" w:ascii="宋体" w:hAnsi="宋体" w:cs="宋体"/>
          <w:szCs w:val="21"/>
          <w:highlight w:val="none"/>
          <w:u w:val="single"/>
        </w:rPr>
        <w:t xml:space="preserve"> </w:t>
      </w:r>
      <w:r>
        <w:rPr>
          <w:rFonts w:hint="eastAsia" w:ascii="宋体" w:hAnsi="宋体" w:cs="宋体"/>
          <w:color w:val="auto"/>
          <w:szCs w:val="21"/>
          <w:highlight w:val="none"/>
          <w:u w:val="single"/>
        </w:rPr>
        <w:t xml:space="preserve">不组织  </w:t>
      </w:r>
      <w:r>
        <w:rPr>
          <w:rFonts w:hint="eastAsia" w:ascii="宋体" w:hAnsi="宋体" w:cs="宋体"/>
          <w:szCs w:val="21"/>
          <w:highlight w:val="none"/>
          <w:u w:val="single"/>
        </w:rPr>
        <w:t xml:space="preserve"> </w:t>
      </w:r>
      <w:r>
        <w:rPr>
          <w:rFonts w:hint="eastAsia" w:ascii="宋体" w:hAnsi="宋体" w:cs="宋体"/>
          <w:szCs w:val="21"/>
          <w:highlight w:val="none"/>
        </w:rPr>
        <w:t>踏勘现场。</w:t>
      </w:r>
      <w:r>
        <w:rPr>
          <w:rFonts w:hint="eastAsia" w:ascii="宋体" w:hAnsi="宋体" w:cs="宋体"/>
          <w:kern w:val="0"/>
          <w:szCs w:val="21"/>
          <w:highlight w:val="none"/>
        </w:rPr>
        <w:t>若</w:t>
      </w:r>
      <w:r>
        <w:rPr>
          <w:rFonts w:hint="eastAsia" w:ascii="宋体" w:hAnsi="宋体" w:cs="宋体"/>
          <w:szCs w:val="21"/>
          <w:highlight w:val="none"/>
        </w:rPr>
        <w:t>踏勘现场，踏勘集中地点</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w:t>
      </w:r>
      <w:r>
        <w:rPr>
          <w:rFonts w:hint="eastAsia" w:ascii="宋体" w:hAnsi="宋体" w:cs="宋体"/>
          <w:szCs w:val="21"/>
          <w:highlight w:val="none"/>
          <w:u w:val="single"/>
        </w:rPr>
        <w:t xml:space="preserve">       </w:t>
      </w:r>
      <w:r>
        <w:rPr>
          <w:rFonts w:hint="eastAsia" w:ascii="宋体" w:hAnsi="宋体" w:cs="宋体"/>
          <w:szCs w:val="21"/>
          <w:highlight w:val="none"/>
        </w:rPr>
        <w:t>。</w:t>
      </w:r>
    </w:p>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6.</w:t>
      </w:r>
      <w:r>
        <w:rPr>
          <w:rFonts w:hint="eastAsia"/>
          <w:highlight w:val="none"/>
        </w:rPr>
        <w:t xml:space="preserve"> 其他说明事项：</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pStyle w:val="11"/>
        <w:numPr>
          <w:ilvl w:val="0"/>
          <w:numId w:val="0"/>
        </w:numPr>
        <w:rPr>
          <w:rFonts w:hint="eastAsia"/>
          <w:highlight w:val="none"/>
        </w:rPr>
      </w:pPr>
    </w:p>
    <w:p>
      <w:pPr>
        <w:pStyle w:val="11"/>
        <w:numPr>
          <w:ilvl w:val="0"/>
          <w:numId w:val="0"/>
        </w:numPr>
        <w:rPr>
          <w:rFonts w:hint="eastAsia"/>
          <w:highlight w:val="none"/>
        </w:rPr>
      </w:pPr>
    </w:p>
    <w:p>
      <w:pPr>
        <w:pageBreakBefore w:val="0"/>
        <w:widowControl/>
        <w:kinsoku/>
        <w:wordWrap/>
        <w:overflowPunct/>
        <w:topLinePunct w:val="0"/>
        <w:autoSpaceDE/>
        <w:autoSpaceDN/>
        <w:bidi w:val="0"/>
        <w:adjustRightInd/>
        <w:snapToGrid/>
        <w:spacing w:beforeLines="50" w:afterLines="50" w:line="380" w:lineRule="exact"/>
        <w:jc w:val="left"/>
        <w:textAlignment w:val="auto"/>
        <w:rPr>
          <w:rFonts w:hint="eastAsia" w:ascii="黑体" w:hAnsi="宋体" w:eastAsia="黑体" w:cs="宋体"/>
          <w:color w:val="auto"/>
          <w:kern w:val="0"/>
          <w:sz w:val="24"/>
          <w:highlight w:val="none"/>
          <w:lang w:val="en-US" w:eastAsia="zh-CN"/>
        </w:rPr>
      </w:pPr>
      <w:r>
        <w:rPr>
          <w:rFonts w:hint="eastAsia" w:ascii="黑体" w:hAnsi="宋体" w:eastAsia="黑体" w:cs="宋体"/>
          <w:color w:val="auto"/>
          <w:kern w:val="0"/>
          <w:sz w:val="24"/>
          <w:highlight w:val="none"/>
          <w:lang w:val="en-US" w:eastAsia="zh-CN"/>
        </w:rPr>
        <w:t>三</w:t>
      </w:r>
      <w:r>
        <w:rPr>
          <w:rFonts w:hint="eastAsia" w:ascii="黑体" w:hAnsi="宋体" w:eastAsia="黑体" w:cs="宋体"/>
          <w:color w:val="auto"/>
          <w:kern w:val="0"/>
          <w:sz w:val="24"/>
          <w:highlight w:val="none"/>
        </w:rPr>
        <w:t>、</w:t>
      </w:r>
      <w:r>
        <w:rPr>
          <w:rFonts w:hint="eastAsia" w:ascii="黑体" w:hAnsi="宋体" w:eastAsia="黑体" w:cs="宋体"/>
          <w:color w:val="auto"/>
          <w:kern w:val="0"/>
          <w:sz w:val="24"/>
          <w:highlight w:val="none"/>
          <w:lang w:val="en-US" w:eastAsia="zh-CN"/>
        </w:rPr>
        <w:t>报价要求</w:t>
      </w:r>
    </w:p>
    <w:p>
      <w:pPr>
        <w:widowControl/>
        <w:spacing w:line="40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1. 计费方式：</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固定单价</w:t>
      </w:r>
      <w:r>
        <w:rPr>
          <w:rFonts w:hint="eastAsia" w:ascii="宋体" w:hAnsi="宋体" w:cs="宋体"/>
          <w:color w:val="FF0000"/>
          <w:kern w:val="0"/>
          <w:szCs w:val="21"/>
          <w:highlight w:val="none"/>
          <w:u w:val="single"/>
        </w:rPr>
        <w:t xml:space="preserve"> ；含税。</w:t>
      </w:r>
      <w:r>
        <w:rPr>
          <w:rFonts w:hint="eastAsia" w:ascii="宋体" w:hAnsi="宋体" w:cs="宋体"/>
          <w:kern w:val="0"/>
          <w:szCs w:val="21"/>
          <w:highlight w:val="none"/>
          <w:u w:val="single"/>
        </w:rPr>
        <w:t xml:space="preserve"> </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 xml:space="preserve">2. </w:t>
      </w:r>
      <w:r>
        <w:rPr>
          <w:rFonts w:hint="eastAsia" w:ascii="宋体" w:hAnsi="宋体" w:cs="宋体"/>
          <w:szCs w:val="21"/>
          <w:highlight w:val="none"/>
        </w:rPr>
        <w:t>报价要求：</w:t>
      </w:r>
    </w:p>
    <w:p>
      <w:pPr>
        <w:spacing w:line="360" w:lineRule="auto"/>
        <w:ind w:firstLine="315" w:firstLineChars="150"/>
        <w:rPr>
          <w:rFonts w:hint="eastAsia" w:ascii="宋体" w:hAnsi="宋体" w:cs="宋体"/>
          <w:color w:val="auto"/>
          <w:szCs w:val="21"/>
          <w:highlight w:val="none"/>
          <w:u w:val="none"/>
        </w:rPr>
      </w:pPr>
      <w:r>
        <w:rPr>
          <w:rFonts w:hint="eastAsia" w:ascii="宋体" w:hAnsi="宋体" w:cs="宋体"/>
          <w:color w:val="auto"/>
          <w:kern w:val="0"/>
          <w:szCs w:val="21"/>
          <w:highlight w:val="none"/>
        </w:rPr>
        <w:t xml:space="preserve">（1） </w:t>
      </w:r>
      <w:r>
        <w:rPr>
          <w:rFonts w:hint="eastAsia" w:ascii="宋体" w:hAnsi="宋体" w:cs="宋体"/>
          <w:color w:val="auto"/>
          <w:szCs w:val="21"/>
          <w:highlight w:val="none"/>
          <w:u w:val="none"/>
        </w:rPr>
        <w:t>报价所涵盖的范围：此费用为</w:t>
      </w:r>
      <w:r>
        <w:rPr>
          <w:rFonts w:hint="eastAsia"/>
          <w:color w:val="auto"/>
          <w:highlight w:val="none"/>
          <w:u w:val="none"/>
        </w:rPr>
        <w:t>全费用综合单价</w:t>
      </w:r>
      <w:r>
        <w:rPr>
          <w:rFonts w:hint="eastAsia" w:ascii="宋体" w:hAnsi="宋体" w:cs="宋体"/>
          <w:color w:val="auto"/>
          <w:szCs w:val="21"/>
          <w:highlight w:val="none"/>
          <w:u w:val="none"/>
        </w:rPr>
        <w:t>报价，包含但不限于</w:t>
      </w:r>
      <w:r>
        <w:rPr>
          <w:rFonts w:hint="eastAsia" w:ascii="宋体" w:hAnsi="宋体" w:cs="宋体"/>
          <w:color w:val="auto"/>
          <w:szCs w:val="21"/>
          <w:highlight w:val="none"/>
          <w:u w:val="none"/>
          <w:lang w:val="en-US" w:eastAsia="zh-CN"/>
        </w:rPr>
        <w:t>油料费、过路费、</w:t>
      </w:r>
      <w:r>
        <w:rPr>
          <w:rFonts w:hint="eastAsia" w:ascii="宋体" w:hAnsi="宋体" w:cs="宋体"/>
          <w:color w:val="auto"/>
          <w:szCs w:val="21"/>
          <w:u w:val="none"/>
        </w:rPr>
        <w:t>驾押人员人工费用</w:t>
      </w:r>
      <w:r>
        <w:rPr>
          <w:rFonts w:hint="eastAsia" w:ascii="宋体" w:hAnsi="宋体" w:cs="宋体"/>
          <w:color w:val="auto"/>
          <w:szCs w:val="21"/>
          <w:u w:val="none"/>
          <w:lang w:eastAsia="zh-CN"/>
        </w:rPr>
        <w:t>、</w:t>
      </w:r>
      <w:r>
        <w:rPr>
          <w:rFonts w:hint="eastAsia" w:ascii="宋体" w:hAnsi="宋体" w:cs="宋体"/>
          <w:color w:val="auto"/>
          <w:szCs w:val="21"/>
          <w:highlight w:val="none"/>
          <w:u w:val="none"/>
        </w:rPr>
        <w:t>增值税等全部费用，甲方不再为中标方提供额外的费用。</w:t>
      </w:r>
    </w:p>
    <w:p>
      <w:pPr>
        <w:spacing w:line="360" w:lineRule="auto"/>
        <w:ind w:firstLine="315" w:firstLineChars="150"/>
        <w:rPr>
          <w:rFonts w:hint="eastAsia"/>
          <w:highlight w:val="none"/>
        </w:rPr>
      </w:pPr>
      <w:r>
        <w:rPr>
          <w:rFonts w:hint="eastAsia" w:ascii="宋体" w:hAnsi="宋体" w:cs="宋体"/>
          <w:szCs w:val="21"/>
          <w:highlight w:val="none"/>
        </w:rPr>
        <w:t xml:space="preserve">（2） </w:t>
      </w:r>
      <w:r>
        <w:rPr>
          <w:rFonts w:hint="eastAsia"/>
          <w:highlight w:val="none"/>
        </w:rPr>
        <w:t>本项目不接受选择性报价；不接受具有附加条件的报价；</w:t>
      </w:r>
      <w:r>
        <w:rPr>
          <w:rFonts w:hint="eastAsia" w:ascii="宋体" w:hAnsi="宋体"/>
          <w:color w:val="000000"/>
          <w:kern w:val="0"/>
          <w:szCs w:val="21"/>
          <w:highlight w:val="none"/>
        </w:rPr>
        <w:t>不得包含采购文件要求以外的内容，否则，在评审时不予核减</w:t>
      </w:r>
      <w:r>
        <w:rPr>
          <w:rFonts w:hint="eastAsia"/>
          <w:highlight w:val="none"/>
        </w:rPr>
        <w:t>。</w:t>
      </w:r>
    </w:p>
    <w:p>
      <w:pPr>
        <w:spacing w:line="360" w:lineRule="auto"/>
        <w:ind w:firstLine="315" w:firstLineChars="150"/>
        <w:rPr>
          <w:rFonts w:hint="default" w:eastAsia="宋体" w:cs="宋体"/>
          <w:color w:val="FF0000"/>
          <w:highlight w:val="none"/>
          <w:lang w:val="en-US" w:eastAsia="zh-CN"/>
        </w:rPr>
      </w:pPr>
      <w:r>
        <w:rPr>
          <w:rFonts w:hint="eastAsia"/>
          <w:highlight w:val="none"/>
        </w:rPr>
        <w:t>（3）</w:t>
      </w:r>
      <w:r>
        <w:rPr>
          <w:rFonts w:hint="eastAsia"/>
          <w:highlight w:val="none"/>
          <w:lang w:val="en-US" w:eastAsia="zh-CN"/>
        </w:rPr>
        <w:t>响应</w:t>
      </w:r>
      <w:r>
        <w:rPr>
          <w:rFonts w:hint="eastAsia"/>
          <w:highlight w:val="none"/>
        </w:rPr>
        <w:t>价格不得高于最高限价，高于最高限价为无效报价，取消其响应资格。</w:t>
      </w:r>
      <w:r>
        <w:rPr>
          <w:rFonts w:hint="eastAsia"/>
          <w:highlight w:val="none"/>
          <w:lang w:val="en-US" w:eastAsia="zh-CN"/>
        </w:rPr>
        <w:t>报价保留两位小数。</w:t>
      </w:r>
    </w:p>
    <w:p>
      <w:pPr>
        <w:spacing w:line="360" w:lineRule="auto"/>
        <w:ind w:firstLine="315" w:firstLineChars="150"/>
        <w:rPr>
          <w:rFonts w:hint="eastAsia" w:ascii="宋体" w:hAnsi="宋体"/>
          <w:color w:val="000000"/>
          <w:kern w:val="0"/>
          <w:szCs w:val="21"/>
          <w:highlight w:val="none"/>
        </w:rPr>
      </w:pPr>
      <w:r>
        <w:rPr>
          <w:rFonts w:hint="eastAsia" w:cs="宋体"/>
          <w:highlight w:val="none"/>
        </w:rPr>
        <w:t>（4）本项目采取一票制，开具增值税专用发票进行结算，</w:t>
      </w:r>
      <w:r>
        <w:rPr>
          <w:rFonts w:hint="eastAsia" w:ascii="宋体" w:hAnsi="宋体"/>
          <w:color w:val="000000"/>
          <w:kern w:val="0"/>
          <w:szCs w:val="21"/>
          <w:highlight w:val="none"/>
        </w:rPr>
        <w:t>增值税税金技术方法为一般计税方法。</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 报价</w:t>
      </w:r>
      <w:r>
        <w:rPr>
          <w:rFonts w:ascii="宋体" w:hAnsi="宋体"/>
          <w:highlight w:val="none"/>
        </w:rPr>
        <w:t>格</w:t>
      </w:r>
      <w:r>
        <w:rPr>
          <w:rFonts w:ascii="宋体" w:hAnsi="宋体" w:cs="宋体"/>
          <w:kern w:val="0"/>
          <w:szCs w:val="21"/>
          <w:highlight w:val="none"/>
        </w:rPr>
        <w:t>式</w:t>
      </w:r>
    </w:p>
    <w:p>
      <w:pPr>
        <w:widowControl/>
        <w:spacing w:line="400" w:lineRule="atLeast"/>
        <w:ind w:firstLine="420"/>
        <w:jc w:val="center"/>
        <w:rPr>
          <w:rFonts w:hint="eastAsia" w:ascii="宋体" w:hAnsi="宋体"/>
          <w:color w:val="FF0000"/>
          <w:kern w:val="0"/>
          <w:sz w:val="36"/>
          <w:szCs w:val="36"/>
          <w:highlight w:val="none"/>
        </w:rPr>
      </w:pPr>
      <w:r>
        <w:rPr>
          <w:rFonts w:hint="eastAsia" w:ascii="宋体" w:hAnsi="宋体"/>
          <w:color w:val="FF0000"/>
          <w:kern w:val="0"/>
          <w:sz w:val="36"/>
          <w:szCs w:val="36"/>
          <w:highlight w:val="none"/>
        </w:rPr>
        <w:t>报价一览表</w:t>
      </w:r>
    </w:p>
    <w:tbl>
      <w:tblPr>
        <w:tblStyle w:val="20"/>
        <w:tblpPr w:leftFromText="180" w:rightFromText="180" w:vertAnchor="text" w:horzAnchor="page" w:tblpX="937" w:tblpY="251"/>
        <w:tblOverlap w:val="never"/>
        <w:tblW w:w="10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8"/>
        <w:gridCol w:w="1295"/>
        <w:gridCol w:w="917"/>
        <w:gridCol w:w="2333"/>
        <w:gridCol w:w="1223"/>
        <w:gridCol w:w="1557"/>
        <w:gridCol w:w="1020"/>
        <w:gridCol w:w="72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5" w:name="_Toc499746669"/>
            <w:bookmarkStart w:id="6" w:name="_Toc498082533"/>
            <w:bookmarkStart w:id="7" w:name="_Toc60846934"/>
            <w:bookmarkStart w:id="8" w:name="_Toc471916850"/>
            <w:bookmarkStart w:id="9" w:name="_Toc386970875"/>
            <w:bookmarkStart w:id="10" w:name="_Toc388005113"/>
            <w:bookmarkStart w:id="11" w:name="_Toc310252855"/>
            <w:bookmarkStart w:id="12" w:name="_Toc310252654"/>
            <w:bookmarkStart w:id="13" w:name="_Toc471917366"/>
            <w:r>
              <w:rPr>
                <w:rFonts w:hint="eastAsia" w:ascii="宋体" w:hAnsi="宋体" w:eastAsia="宋体" w:cs="宋体"/>
                <w:i w:val="0"/>
                <w:iCs w:val="0"/>
                <w:color w:val="000000"/>
                <w:kern w:val="0"/>
                <w:sz w:val="20"/>
                <w:szCs w:val="20"/>
                <w:u w:val="none"/>
                <w:lang w:val="en-US" w:eastAsia="zh-CN" w:bidi="ar"/>
              </w:rPr>
              <w:t>承运介质</w:t>
            </w:r>
          </w:p>
        </w:tc>
        <w:tc>
          <w:tcPr>
            <w:tcW w:w="12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服务区域</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承运站点</w:t>
            </w:r>
          </w:p>
        </w:tc>
        <w:tc>
          <w:tcPr>
            <w:tcW w:w="23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运距</w:t>
            </w: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运价单位</w:t>
            </w:r>
          </w:p>
        </w:tc>
        <w:tc>
          <w:tcPr>
            <w:tcW w:w="155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最高限价</w:t>
            </w: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响应报价</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权重</w:t>
            </w:r>
          </w:p>
        </w:tc>
        <w:tc>
          <w:tcPr>
            <w:tcW w:w="750" w:type="dxa"/>
            <w:vMerge w:val="restart"/>
            <w:tcBorders>
              <w:top w:val="single" w:color="000000" w:sz="4" w:space="0"/>
              <w:left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（含税）</w:t>
            </w: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（含税）</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0"/>
                <w:szCs w:val="20"/>
                <w:highlight w:val="none"/>
                <w:u w:val="none"/>
              </w:rPr>
            </w:pPr>
          </w:p>
        </w:tc>
        <w:tc>
          <w:tcPr>
            <w:tcW w:w="750" w:type="dxa"/>
            <w:vMerge w:val="continue"/>
            <w:tcBorders>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成品油</w:t>
            </w:r>
          </w:p>
        </w:tc>
        <w:tc>
          <w:tcPr>
            <w:tcW w:w="12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泰安周边油库</w:t>
            </w:r>
          </w:p>
        </w:tc>
        <w:tc>
          <w:tcPr>
            <w:tcW w:w="91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泰安交运各加油站</w:t>
            </w:r>
          </w:p>
        </w:tc>
        <w:tc>
          <w:tcPr>
            <w:tcW w:w="23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≤30公里</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r>
              <w:rPr>
                <w:rStyle w:val="43"/>
                <w:rFonts w:eastAsia="宋体"/>
                <w:lang w:val="en-US" w:eastAsia="zh-CN" w:bidi="ar"/>
              </w:rPr>
              <w:t>/</w:t>
            </w:r>
            <w:r>
              <w:rPr>
                <w:rStyle w:val="44"/>
                <w:lang w:val="en-US" w:eastAsia="zh-CN" w:bidi="ar"/>
              </w:rPr>
              <w:t>吨</w:t>
            </w:r>
          </w:p>
        </w:tc>
        <w:tc>
          <w:tcPr>
            <w:tcW w:w="1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详见采购文件</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9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31公里﹤运距≤100公里</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r>
              <w:rPr>
                <w:rStyle w:val="43"/>
                <w:rFonts w:eastAsia="宋体"/>
                <w:lang w:val="en-US" w:eastAsia="zh-CN" w:bidi="ar"/>
              </w:rPr>
              <w:t>/</w:t>
            </w:r>
            <w:r>
              <w:rPr>
                <w:rStyle w:val="44"/>
                <w:lang w:val="en-US" w:eastAsia="zh-CN" w:bidi="ar"/>
              </w:rPr>
              <w:t>吨公里</w:t>
            </w:r>
          </w:p>
        </w:tc>
        <w:tc>
          <w:tcPr>
            <w:tcW w:w="1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详见采购文件</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9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101公里﹤运距≤200公里</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r>
              <w:rPr>
                <w:rStyle w:val="43"/>
                <w:rFonts w:eastAsia="宋体"/>
                <w:lang w:val="en-US" w:eastAsia="zh-CN" w:bidi="ar"/>
              </w:rPr>
              <w:t>/</w:t>
            </w:r>
            <w:r>
              <w:rPr>
                <w:rStyle w:val="44"/>
                <w:lang w:val="en-US" w:eastAsia="zh-CN" w:bidi="ar"/>
              </w:rPr>
              <w:t>吨公里</w:t>
            </w:r>
          </w:p>
        </w:tc>
        <w:tc>
          <w:tcPr>
            <w:tcW w:w="1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详见采购文件</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9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201公里﹤运距≤300公里</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r>
              <w:rPr>
                <w:rStyle w:val="43"/>
                <w:rFonts w:eastAsia="宋体"/>
                <w:lang w:val="en-US" w:eastAsia="zh-CN" w:bidi="ar"/>
              </w:rPr>
              <w:t>/</w:t>
            </w:r>
            <w:r>
              <w:rPr>
                <w:rStyle w:val="44"/>
                <w:lang w:val="en-US" w:eastAsia="zh-CN" w:bidi="ar"/>
              </w:rPr>
              <w:t>吨公里</w:t>
            </w:r>
          </w:p>
        </w:tc>
        <w:tc>
          <w:tcPr>
            <w:tcW w:w="1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详见采购文件</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D</w:t>
            </w:r>
          </w:p>
        </w:tc>
      </w:tr>
      <w:bookmarkEnd w:id="5"/>
      <w:bookmarkEnd w:id="6"/>
      <w:bookmarkEnd w:id="7"/>
      <w:bookmarkEnd w:id="8"/>
      <w:bookmarkEnd w:id="9"/>
      <w:bookmarkEnd w:id="10"/>
      <w:bookmarkEnd w:id="11"/>
      <w:bookmarkEnd w:id="12"/>
      <w:bookmarkEnd w:id="13"/>
    </w:tbl>
    <w:p>
      <w:pPr>
        <w:pStyle w:val="2"/>
      </w:pPr>
    </w:p>
    <w:p>
      <w:pPr>
        <w:widowControl/>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4. 结算方式</w:t>
      </w:r>
      <w:r>
        <w:rPr>
          <w:rFonts w:hint="eastAsia" w:ascii="宋体" w:hAnsi="宋体" w:cs="宋体"/>
          <w:szCs w:val="21"/>
          <w:highlight w:val="none"/>
          <w:lang w:eastAsia="zh-CN"/>
        </w:rPr>
        <w:t>：</w:t>
      </w:r>
      <w:r>
        <w:rPr>
          <w:rFonts w:hint="eastAsia" w:ascii="宋体" w:hAnsi="宋体" w:cs="宋体"/>
          <w:szCs w:val="21"/>
          <w:u w:val="single"/>
        </w:rPr>
        <w:t>每月25日前，</w:t>
      </w:r>
      <w:r>
        <w:rPr>
          <w:rFonts w:hint="eastAsia" w:ascii="宋体" w:hAnsi="宋体" w:cs="宋体"/>
          <w:szCs w:val="21"/>
          <w:u w:val="single"/>
          <w:lang w:val="en-US" w:eastAsia="zh-CN"/>
        </w:rPr>
        <w:t>成交</w:t>
      </w:r>
      <w:r>
        <w:rPr>
          <w:rFonts w:hint="eastAsia" w:ascii="宋体" w:hAnsi="宋体" w:cs="宋体"/>
          <w:szCs w:val="21"/>
          <w:u w:val="single"/>
        </w:rPr>
        <w:t>单位开具增值税专用发票，公司收到发票后60日内支付运输费，如</w:t>
      </w:r>
      <w:r>
        <w:rPr>
          <w:rFonts w:hint="eastAsia" w:ascii="宋体" w:hAnsi="宋体" w:cs="宋体"/>
          <w:szCs w:val="21"/>
          <w:u w:val="single"/>
          <w:lang w:val="en-US" w:eastAsia="zh-CN"/>
        </w:rPr>
        <w:t>成交</w:t>
      </w:r>
      <w:r>
        <w:rPr>
          <w:rFonts w:hint="eastAsia" w:ascii="宋体" w:hAnsi="宋体" w:cs="宋体"/>
          <w:szCs w:val="21"/>
          <w:u w:val="single"/>
        </w:rPr>
        <w:t>单位未提供合法有效的增值税专用发票，分公司有权迟延付款而不承担违约责任及其他责任</w:t>
      </w:r>
      <w:r>
        <w:rPr>
          <w:rFonts w:hint="eastAsia" w:ascii="宋体" w:hAnsi="宋体" w:cs="宋体"/>
          <w:color w:val="FF0000"/>
          <w:highlight w:val="none"/>
          <w:u w:val="single"/>
        </w:rPr>
        <w:t>。</w:t>
      </w:r>
      <w:r>
        <w:rPr>
          <w:rFonts w:hint="eastAsia" w:ascii="宋体" w:hAnsi="宋体" w:cs="宋体"/>
          <w:kern w:val="0"/>
          <w:szCs w:val="21"/>
          <w:highlight w:val="none"/>
          <w:u w:val="single"/>
        </w:rPr>
        <w:t xml:space="preserve"> </w:t>
      </w:r>
    </w:p>
    <w:p>
      <w:pPr>
        <w:widowControl/>
        <w:spacing w:line="400" w:lineRule="exact"/>
        <w:ind w:firstLine="420" w:firstLineChars="200"/>
        <w:jc w:val="left"/>
        <w:rPr>
          <w:rFonts w:hint="eastAsia" w:ascii="宋体" w:hAnsi="宋体" w:cs="宋体"/>
          <w:color w:val="FF0000"/>
          <w:highlight w:val="none"/>
          <w:u w:val="single"/>
          <w:lang w:eastAsia="zh-CN"/>
        </w:rPr>
      </w:pPr>
      <w:r>
        <w:rPr>
          <w:rFonts w:hint="eastAsia" w:ascii="宋体" w:hAnsi="宋体" w:cs="宋体"/>
          <w:highlight w:val="none"/>
        </w:rPr>
        <w:t>5. 付款方式：</w:t>
      </w:r>
      <w:r>
        <w:rPr>
          <w:rFonts w:hint="eastAsia" w:ascii="宋体" w:hAnsi="宋体" w:cs="宋体"/>
          <w:color w:val="FF0000"/>
          <w:highlight w:val="none"/>
          <w:u w:val="single"/>
        </w:rPr>
        <w:t>采用银行转账方式</w:t>
      </w:r>
      <w:r>
        <w:rPr>
          <w:rFonts w:hint="eastAsia" w:ascii="宋体" w:hAnsi="宋体" w:cs="宋体"/>
          <w:color w:val="FF0000"/>
          <w:highlight w:val="none"/>
          <w:u w:val="single"/>
          <w:lang w:eastAsia="zh-CN"/>
        </w:rPr>
        <w:t>。</w:t>
      </w:r>
    </w:p>
    <w:p>
      <w:pPr>
        <w:widowControl/>
        <w:spacing w:line="400" w:lineRule="exact"/>
        <w:ind w:firstLine="420" w:firstLineChars="200"/>
        <w:jc w:val="left"/>
        <w:rPr>
          <w:rFonts w:hint="eastAsia" w:ascii="宋体" w:hAnsi="宋体" w:cs="宋体"/>
          <w:szCs w:val="21"/>
          <w:highlight w:val="none"/>
          <w:u w:val="single"/>
        </w:rPr>
      </w:pPr>
      <w:r>
        <w:rPr>
          <w:rFonts w:hint="eastAsia"/>
          <w:highlight w:val="none"/>
        </w:rPr>
        <w:t>6. 其他说明事项：</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u w:val="single"/>
        </w:rPr>
        <w:t>。</w:t>
      </w:r>
    </w:p>
    <w:p>
      <w:pPr>
        <w:pageBreakBefore w:val="0"/>
        <w:numPr>
          <w:ilvl w:val="0"/>
          <w:numId w:val="0"/>
        </w:numPr>
        <w:kinsoku/>
        <w:wordWrap/>
        <w:overflowPunct/>
        <w:topLinePunct w:val="0"/>
        <w:autoSpaceDE/>
        <w:autoSpaceDN/>
        <w:bidi w:val="0"/>
        <w:adjustRightInd/>
        <w:snapToGrid/>
        <w:spacing w:line="380" w:lineRule="exact"/>
        <w:textAlignment w:val="auto"/>
        <w:rPr>
          <w:rFonts w:hint="eastAsia" w:ascii="黑体" w:hAnsi="宋体" w:eastAsia="黑体" w:cs="宋体"/>
          <w:b/>
          <w:bCs/>
          <w:color w:val="auto"/>
          <w:kern w:val="0"/>
          <w:sz w:val="24"/>
          <w:highlight w:val="none"/>
          <w:lang w:val="en-US" w:eastAsia="zh-CN"/>
        </w:rPr>
      </w:pPr>
    </w:p>
    <w:p>
      <w:pPr>
        <w:pageBreakBefore w:val="0"/>
        <w:numPr>
          <w:ilvl w:val="0"/>
          <w:numId w:val="0"/>
        </w:numPr>
        <w:kinsoku/>
        <w:wordWrap/>
        <w:overflowPunct/>
        <w:topLinePunct w:val="0"/>
        <w:autoSpaceDE/>
        <w:autoSpaceDN/>
        <w:bidi w:val="0"/>
        <w:adjustRightInd/>
        <w:snapToGrid/>
        <w:spacing w:line="380" w:lineRule="exact"/>
        <w:textAlignment w:val="auto"/>
        <w:rPr>
          <w:rFonts w:hint="eastAsia"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四、服务标准和技术要求：</w:t>
      </w:r>
    </w:p>
    <w:p>
      <w:pPr>
        <w:widowControl/>
        <w:spacing w:line="400" w:lineRule="exact"/>
        <w:ind w:firstLine="420" w:firstLineChars="200"/>
        <w:jc w:val="left"/>
        <w:rPr>
          <w:rFonts w:hint="eastAsia" w:ascii="黑体" w:hAnsi="宋体" w:eastAsia="黑体" w:cs="宋体"/>
          <w:kern w:val="0"/>
          <w:sz w:val="28"/>
          <w:szCs w:val="28"/>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一</w:t>
      </w:r>
      <w:r>
        <w:rPr>
          <w:rFonts w:hint="eastAsia" w:ascii="宋体" w:hAnsi="宋体" w:cs="宋体"/>
          <w:szCs w:val="21"/>
          <w:highlight w:val="none"/>
          <w:lang w:eastAsia="zh-CN"/>
        </w:rPr>
        <w:t>）</w:t>
      </w:r>
      <w:r>
        <w:rPr>
          <w:rFonts w:hint="eastAsia" w:ascii="宋体" w:hAnsi="宋体" w:cs="宋体"/>
          <w:szCs w:val="21"/>
          <w:highlight w:val="none"/>
        </w:rPr>
        <w:t>本项目</w:t>
      </w:r>
      <w:r>
        <w:rPr>
          <w:rFonts w:hint="eastAsia" w:ascii="宋体" w:hAnsi="宋体" w:cs="宋体"/>
          <w:szCs w:val="21"/>
          <w:highlight w:val="none"/>
          <w:u w:val="single"/>
        </w:rPr>
        <w:t xml:space="preserve">  不允许  </w:t>
      </w:r>
      <w:r>
        <w:rPr>
          <w:rFonts w:hint="eastAsia" w:ascii="宋体" w:hAnsi="宋体" w:cs="宋体"/>
          <w:szCs w:val="21"/>
          <w:highlight w:val="none"/>
        </w:rPr>
        <w:t>分包。</w:t>
      </w:r>
    </w:p>
    <w:p>
      <w:pPr>
        <w:widowControl/>
        <w:spacing w:line="400" w:lineRule="exact"/>
        <w:ind w:firstLine="420" w:firstLineChars="200"/>
        <w:jc w:val="left"/>
        <w:rPr>
          <w:rFonts w:hint="eastAsia" w:ascii="宋体" w:hAnsi="宋体"/>
          <w:b/>
          <w:szCs w:val="21"/>
        </w:rPr>
      </w:pPr>
      <w:r>
        <w:rPr>
          <w:rFonts w:hint="eastAsia" w:ascii="宋体" w:hAnsi="宋体" w:cs="宋体"/>
          <w:kern w:val="0"/>
          <w:szCs w:val="21"/>
        </w:rPr>
        <w:t>（</w:t>
      </w:r>
      <w:r>
        <w:rPr>
          <w:rFonts w:hint="eastAsia" w:ascii="宋体" w:hAnsi="宋体" w:cs="宋体"/>
          <w:kern w:val="0"/>
          <w:szCs w:val="21"/>
          <w:lang w:val="en-US" w:eastAsia="zh-CN"/>
        </w:rPr>
        <w:t>二</w:t>
      </w:r>
      <w:r>
        <w:rPr>
          <w:rFonts w:hint="eastAsia" w:ascii="宋体" w:hAnsi="宋体" w:cs="宋体"/>
          <w:kern w:val="0"/>
          <w:szCs w:val="21"/>
        </w:rPr>
        <w:t>）技术标准</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 严格执行国家《中华人民共和国劳动法》《中华人民共和国道路交通安全法》《中华人民共和国道路运输条例》《道路危险货物运输管理规定》《道路运输危险货物车辆标志》《汽车运输、装卸危险货物作业规程》等相关法律法规，以及中国石油集团公司、油田公司及中国石油</w:t>
      </w:r>
      <w:r>
        <w:rPr>
          <w:rFonts w:hint="eastAsia" w:ascii="宋体" w:hAnsi="宋体" w:cs="宋体"/>
          <w:kern w:val="0"/>
          <w:szCs w:val="21"/>
          <w:lang w:val="en-US" w:eastAsia="zh-CN"/>
        </w:rPr>
        <w:t>昆仑物流有限</w:t>
      </w:r>
      <w:r>
        <w:rPr>
          <w:rFonts w:hint="eastAsia" w:ascii="宋体" w:hAnsi="宋体" w:cs="宋体"/>
          <w:kern w:val="0"/>
          <w:szCs w:val="21"/>
        </w:rPr>
        <w:t>公司相关管理制度；</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 运输过程中，应按国家有关危险品运输规定进行妥善保管，做出危险物的标志和标签，并采取有效措施保证运输货物安全，避免丢失和环境污染；</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 车辆应定期进行日常检修和维护，按规定周期进行保养，按要求进行年检，按国家规定对常压罐体定期年检。车辆及驾驶员的各种证照齐全，符合国家法律法规、中国石油集团公司及中国石油</w:t>
      </w:r>
      <w:r>
        <w:rPr>
          <w:rFonts w:hint="eastAsia" w:ascii="宋体" w:hAnsi="宋体" w:cs="宋体"/>
          <w:kern w:val="0"/>
          <w:szCs w:val="21"/>
          <w:lang w:val="en-US" w:eastAsia="zh-CN"/>
        </w:rPr>
        <w:t>昆仑物流有限</w:t>
      </w:r>
      <w:r>
        <w:rPr>
          <w:rFonts w:hint="eastAsia" w:ascii="宋体" w:hAnsi="宋体" w:cs="宋体"/>
          <w:kern w:val="0"/>
          <w:szCs w:val="21"/>
        </w:rPr>
        <w:t>公司管理规定要求；</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4. 办理国家规定的机动车交通事故责任强制保险、道路危险货物承运人责任险、第三者责任险等保险，并承担承运车辆交通肇事等意外事故造成的甲方及任何第三方财产、人身伤害赔偿，其中，承运人责任险保额不低于20万；第三者责任险保额不低于100万。</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5. 保持车体内外整洁、无破损和渗漏，听从调度安排随叫随到，服务标准化、规范化，达到使用单位要求。 </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三</w:t>
      </w:r>
      <w:r>
        <w:rPr>
          <w:rFonts w:hint="eastAsia" w:ascii="宋体" w:hAnsi="宋体" w:cs="宋体"/>
          <w:kern w:val="0"/>
          <w:szCs w:val="21"/>
        </w:rPr>
        <w:t>）项目配备设备</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 提供符合服务要求的运输服务车辆，要求所有车辆归属</w:t>
      </w:r>
      <w:r>
        <w:rPr>
          <w:rFonts w:hint="eastAsia" w:ascii="宋体" w:hAnsi="宋体" w:cs="宋体"/>
          <w:kern w:val="0"/>
          <w:szCs w:val="21"/>
          <w:lang w:val="en-US" w:eastAsia="zh-CN"/>
        </w:rPr>
        <w:t>响应</w:t>
      </w:r>
      <w:r>
        <w:rPr>
          <w:rFonts w:hint="eastAsia" w:ascii="宋体" w:hAnsi="宋体" w:cs="宋体"/>
          <w:kern w:val="0"/>
          <w:szCs w:val="21"/>
        </w:rPr>
        <w:t>人自有，且必须在使用年限内。</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 车辆必须安装符合国家相关规范和标准的卫星定位及车载视频监控装置，车辆使用单位能够通过联网联控系统平台对相关车辆装卸油口和驾驶人员实时动态监控管理，拉运过程中GPS信号不允许中断，如需维护需提前通知使用单位。</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 必须有良好的接地装置，必须按规定配备灭火器等应急处置器材。</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四</w:t>
      </w:r>
      <w:r>
        <w:rPr>
          <w:rFonts w:hint="eastAsia" w:ascii="宋体" w:hAnsi="宋体" w:cs="宋体"/>
          <w:kern w:val="0"/>
          <w:szCs w:val="21"/>
        </w:rPr>
        <w:t>）服务要求</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 保证运输车辆及专业人员符合国家有关法律法规规定和运输要求；</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 严格使用</w:t>
      </w:r>
      <w:r>
        <w:rPr>
          <w:rFonts w:hint="eastAsia" w:ascii="宋体" w:hAnsi="宋体" w:cs="宋体"/>
          <w:kern w:val="0"/>
          <w:szCs w:val="21"/>
          <w:lang w:val="en-US" w:eastAsia="zh-CN"/>
        </w:rPr>
        <w:t>响应</w:t>
      </w:r>
      <w:r>
        <w:rPr>
          <w:rFonts w:hint="eastAsia" w:ascii="宋体" w:hAnsi="宋体" w:cs="宋体"/>
          <w:kern w:val="0"/>
          <w:szCs w:val="21"/>
        </w:rPr>
        <w:t>且备案车辆服务，不得擅自将承运车辆调回，因承运车辆维修、保养等原因停运，应提前报备，并以性能良好的同类型承运车辆临时替换，不得影响正常工作，如车辆报废等其它原因更换车辆，按相关规定办理备案手续；</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 运输车辆应证件齐全并符合货运条件，油罐车必须与车辆行驶证上核定载质量的吨位相符，不允许超载；车辆拉运液体，必须以罐体喷涂字样一致，如有争议由</w:t>
      </w:r>
      <w:r>
        <w:rPr>
          <w:rFonts w:hint="eastAsia" w:ascii="宋体" w:hAnsi="宋体" w:cs="宋体"/>
          <w:kern w:val="0"/>
          <w:szCs w:val="21"/>
          <w:lang w:val="en-US" w:eastAsia="zh-CN"/>
        </w:rPr>
        <w:t>响应</w:t>
      </w:r>
      <w:r>
        <w:rPr>
          <w:rFonts w:hint="eastAsia" w:ascii="宋体" w:hAnsi="宋体" w:cs="宋体"/>
          <w:kern w:val="0"/>
          <w:szCs w:val="21"/>
        </w:rPr>
        <w:t>人自行承担；</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4. 运输前应完成车辆检修工作，确保其运转良好，保证服从使用单位合理的调配和指挥；</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5. 车载GPS终端设备和视频监控不允擅自分离、拆卸，保证GPS在车辆运行途中信号不中断；</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6. 成交人在生产区域装卸货物时，如违反有关安全、环保等方面的规章制度，由此造成的损失和责任由成交人承担；</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7. 严格按中国石油昆仑物流有限公司相关要求办理审批、检验等相关手续；使用服务方提供的统一产品交货单据；</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8. 具备24小时作业能力；由用户单位提供指定地点进行装卸，卸货时间严格控制在规定时间范围内，如有夜间装卸油等特殊情况，第一时间与用户单位进行沟通，保证及时、安全将合同目标货物运达目的地，并向收货人发出到货通知，办理相应的交接手续；</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9. 应急预案包括但不限于交通事故、交通事故引发的次生灾害、环境污染、防洪防汛应急预案等；</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10. 风险识别、评估包括但不限于运输风险、季节转换运行风险、车辆维护保养不到位等风险识别和评估，风险识别和评估要全面；</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11. 成交人承担包括但不限于车辆油料、过路过桥费、修理、保险、驾押人工等费用及因成交人原因所发生的一切费用。</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五</w:t>
      </w:r>
      <w:r>
        <w:rPr>
          <w:rFonts w:hint="eastAsia" w:ascii="宋体" w:hAnsi="宋体" w:cs="宋体"/>
          <w:kern w:val="0"/>
          <w:szCs w:val="21"/>
        </w:rPr>
        <w:t>）其他要求：</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 运输过程中发生的油品丢失、改变属性等情况成交人应承担赔偿责任。运输过程中发生的物资毁损、灭失成交人应承担赔偿责任。</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 因成交人车辆、人员原因，车辆运输不及时造成上游公司加油站断档脱销、客户生产用油断供，导致采购人受到上游公司处罚，相应损失由成交人承担全部承担。</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 接受使用方对工作全过程的监督检查，采纳合理意见，对提出的问题及时整改。</w:t>
      </w:r>
    </w:p>
    <w:p>
      <w:pPr>
        <w:pageBreakBefore w:val="0"/>
        <w:kinsoku/>
        <w:wordWrap/>
        <w:overflowPunct/>
        <w:topLinePunct w:val="0"/>
        <w:autoSpaceDE/>
        <w:autoSpaceDN/>
        <w:bidi w:val="0"/>
        <w:adjustRightInd/>
        <w:snapToGrid/>
        <w:spacing w:line="380" w:lineRule="exact"/>
        <w:textAlignment w:val="auto"/>
        <w:rPr>
          <w:rFonts w:hint="eastAsia" w:ascii="黑体" w:hAnsi="宋体" w:eastAsia="黑体" w:cs="宋体"/>
          <w:b/>
          <w:bCs/>
          <w:color w:val="auto"/>
          <w:kern w:val="0"/>
          <w:sz w:val="24"/>
          <w:highlight w:val="none"/>
          <w:lang w:val="en-US" w:eastAsia="zh-CN"/>
        </w:rPr>
      </w:pPr>
    </w:p>
    <w:p>
      <w:pPr>
        <w:pageBreakBefore w:val="0"/>
        <w:kinsoku/>
        <w:wordWrap/>
        <w:overflowPunct/>
        <w:topLinePunct w:val="0"/>
        <w:autoSpaceDE/>
        <w:autoSpaceDN/>
        <w:bidi w:val="0"/>
        <w:adjustRightInd/>
        <w:snapToGrid/>
        <w:spacing w:line="380" w:lineRule="exact"/>
        <w:textAlignment w:val="auto"/>
        <w:rPr>
          <w:rFonts w:hint="eastAsia"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五、响应人资格要求</w:t>
      </w:r>
      <w:bookmarkEnd w:id="0"/>
      <w:bookmarkEnd w:id="1"/>
      <w:bookmarkEnd w:id="2"/>
      <w:bookmarkEnd w:id="3"/>
      <w:bookmarkEnd w:id="4"/>
    </w:p>
    <w:p>
      <w:pPr>
        <w:widowControl/>
        <w:spacing w:line="400" w:lineRule="exact"/>
        <w:ind w:left="210" w:leftChars="100" w:firstLine="105" w:firstLineChars="50"/>
        <w:jc w:val="left"/>
        <w:rPr>
          <w:rFonts w:hint="eastAsia" w:ascii="宋体" w:hAnsi="宋体"/>
          <w:highlight w:val="none"/>
          <w:lang w:val="en-US" w:eastAsia="zh-CN"/>
        </w:rPr>
      </w:pPr>
      <w:r>
        <w:rPr>
          <w:rFonts w:hint="eastAsia"/>
          <w:highlight w:val="none"/>
        </w:rPr>
        <w:t xml:space="preserve">1. </w:t>
      </w:r>
      <w:r>
        <w:rPr>
          <w:rFonts w:hint="eastAsia"/>
          <w:highlight w:val="none"/>
          <w:lang w:val="en-US" w:eastAsia="zh-CN"/>
        </w:rPr>
        <w:t>响应</w:t>
      </w:r>
      <w:r>
        <w:rPr>
          <w:rFonts w:hint="eastAsia" w:ascii="宋体" w:hAnsi="宋体"/>
          <w:lang w:eastAsia="zh-CN"/>
        </w:rPr>
        <w:t>人须为中华人民共和国境内注册的独立法人或其他组织，</w:t>
      </w:r>
      <w:r>
        <w:rPr>
          <w:rFonts w:hint="eastAsia" w:ascii="宋体" w:hAnsi="宋体" w:cs="宋体"/>
          <w:kern w:val="0"/>
          <w:szCs w:val="21"/>
          <w:highlight w:val="none"/>
        </w:rPr>
        <w:t>能开具增值税专用发票</w:t>
      </w:r>
      <w:r>
        <w:rPr>
          <w:rFonts w:hint="eastAsia" w:ascii="宋体" w:hAnsi="宋体" w:cs="宋体"/>
          <w:kern w:val="0"/>
          <w:szCs w:val="21"/>
          <w:highlight w:val="none"/>
          <w:lang w:eastAsia="zh-CN"/>
        </w:rPr>
        <w:t>，</w:t>
      </w:r>
      <w:r>
        <w:rPr>
          <w:rFonts w:hint="eastAsia" w:ascii="宋体" w:hAnsi="宋体"/>
          <w:highlight w:val="none"/>
          <w:lang w:val="en-US" w:eastAsia="zh-CN"/>
        </w:rPr>
        <w:t>提供营业执照（事业单位提供法人证书）扫描件。</w:t>
      </w:r>
    </w:p>
    <w:p>
      <w:pPr>
        <w:spacing w:line="360" w:lineRule="auto"/>
        <w:ind w:firstLine="444"/>
        <w:rPr>
          <w:rFonts w:hint="eastAsia" w:ascii="宋体" w:hAnsi="宋体" w:eastAsia="宋体" w:cs="宋体"/>
          <w:color w:val="auto"/>
          <w:highlight w:val="none"/>
          <w:lang w:eastAsia="zh-CN"/>
        </w:rPr>
      </w:pPr>
      <w:r>
        <w:rPr>
          <w:rFonts w:hint="eastAsia" w:ascii="宋体" w:hAnsi="宋体"/>
          <w:szCs w:val="21"/>
          <w:highlight w:val="none"/>
          <w:lang w:val="en-US" w:eastAsia="zh-CN"/>
        </w:rPr>
        <w:t>2</w:t>
      </w:r>
      <w:r>
        <w:rPr>
          <w:rFonts w:hint="eastAsia" w:ascii="宋体" w:hAnsi="宋体"/>
          <w:szCs w:val="21"/>
          <w:highlight w:val="none"/>
        </w:rPr>
        <w:t>. 资质要求：</w:t>
      </w:r>
      <w:r>
        <w:rPr>
          <w:rFonts w:hint="eastAsia"/>
          <w:color w:val="auto"/>
          <w:highlight w:val="none"/>
        </w:rPr>
        <w:t>具有有效的</w:t>
      </w:r>
      <w:r>
        <w:rPr>
          <w:rFonts w:hint="eastAsia" w:ascii="宋体" w:hAnsi="宋体" w:cs="宋体"/>
          <w:kern w:val="0"/>
          <w:szCs w:val="21"/>
          <w:highlight w:val="none"/>
          <w:u w:val="single"/>
        </w:rPr>
        <w:t>《道路危险货物运输许可证》</w:t>
      </w:r>
      <w:r>
        <w:rPr>
          <w:color w:val="auto"/>
          <w:highlight w:val="none"/>
        </w:rPr>
        <w:t>，</w:t>
      </w:r>
      <w:r>
        <w:rPr>
          <w:rFonts w:hint="eastAsia" w:ascii="宋体" w:hAnsi="宋体"/>
          <w:color w:val="auto"/>
          <w:szCs w:val="21"/>
          <w:highlight w:val="none"/>
        </w:rPr>
        <w:t>经营范围包含</w:t>
      </w:r>
      <w:r>
        <w:rPr>
          <w:rFonts w:hint="eastAsia"/>
          <w:color w:val="auto"/>
          <w:highlight w:val="none"/>
        </w:rPr>
        <w:t>危险货物运输</w:t>
      </w:r>
      <w:r>
        <w:rPr>
          <w:color w:val="auto"/>
          <w:highlight w:val="none"/>
          <w:u w:val="single"/>
        </w:rPr>
        <w:t>（</w:t>
      </w:r>
      <w:r>
        <w:rPr>
          <w:rFonts w:hint="eastAsia" w:ascii="宋体" w:hAnsi="宋体" w:eastAsia="宋体" w:cs="宋体"/>
          <w:color w:val="auto"/>
          <w:highlight w:val="none"/>
          <w:u w:val="single"/>
          <w:lang w:val="en-US" w:eastAsia="zh-CN"/>
        </w:rPr>
        <w:t>三</w:t>
      </w:r>
      <w:r>
        <w:rPr>
          <w:color w:val="auto"/>
          <w:highlight w:val="none"/>
          <w:u w:val="single"/>
        </w:rPr>
        <w:t>类）</w:t>
      </w:r>
      <w:r>
        <w:rPr>
          <w:color w:val="auto"/>
          <w:highlight w:val="none"/>
        </w:rPr>
        <w:t>资质</w:t>
      </w:r>
      <w:r>
        <w:rPr>
          <w:rFonts w:hint="eastAsia"/>
          <w:color w:val="auto"/>
          <w:highlight w:val="none"/>
          <w:lang w:eastAsia="zh-CN"/>
        </w:rPr>
        <w:t>。</w:t>
      </w:r>
      <w:r>
        <w:rPr>
          <w:rFonts w:hint="eastAsia"/>
          <w:color w:val="auto"/>
          <w:highlight w:val="none"/>
        </w:rPr>
        <w:t>提供</w:t>
      </w:r>
      <w:r>
        <w:rPr>
          <w:color w:val="auto"/>
          <w:highlight w:val="none"/>
        </w:rPr>
        <w:t>道路运输经营许可证</w:t>
      </w:r>
      <w:r>
        <w:rPr>
          <w:rFonts w:hint="eastAsia"/>
          <w:color w:val="auto"/>
          <w:highlight w:val="none"/>
        </w:rPr>
        <w:t>扫描件。</w:t>
      </w:r>
    </w:p>
    <w:p>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szCs w:val="21"/>
          <w:highlight w:val="none"/>
          <w:lang w:val="en-US" w:eastAsia="zh-CN"/>
        </w:rPr>
        <w:t>3</w:t>
      </w:r>
      <w:r>
        <w:rPr>
          <w:rFonts w:hint="eastAsia" w:ascii="宋体" w:hAnsi="宋体"/>
          <w:szCs w:val="21"/>
          <w:highlight w:val="none"/>
        </w:rPr>
        <w:t>. 业绩要求</w:t>
      </w:r>
      <w:r>
        <w:rPr>
          <w:rFonts w:hint="eastAsia" w:ascii="宋体" w:hAnsi="宋体"/>
          <w:color w:val="auto"/>
          <w:szCs w:val="21"/>
          <w:highlight w:val="none"/>
        </w:rPr>
        <w:t>：</w:t>
      </w:r>
      <w:r>
        <w:rPr>
          <w:rFonts w:hint="eastAsia" w:ascii="宋体" w:hAnsi="宋体"/>
          <w:color w:val="000000"/>
          <w:highlight w:val="none"/>
          <w:lang w:val="en-US" w:eastAsia="zh-CN"/>
        </w:rPr>
        <w:t>服务商</w:t>
      </w:r>
      <w:r>
        <w:rPr>
          <w:rFonts w:hint="eastAsia" w:ascii="宋体" w:hAnsi="宋体"/>
          <w:color w:val="000000"/>
          <w:highlight w:val="none"/>
        </w:rPr>
        <w:t xml:space="preserve">自 </w:t>
      </w:r>
      <w:r>
        <w:rPr>
          <w:rFonts w:hint="eastAsia" w:ascii="宋体" w:hAnsi="宋体"/>
          <w:color w:val="000000"/>
          <w:highlight w:val="none"/>
          <w:u w:val="single"/>
        </w:rPr>
        <w:t xml:space="preserve"> 202</w:t>
      </w:r>
      <w:r>
        <w:rPr>
          <w:rFonts w:hint="eastAsia" w:ascii="宋体" w:hAnsi="宋体"/>
          <w:color w:val="000000"/>
          <w:highlight w:val="none"/>
          <w:u w:val="single"/>
          <w:lang w:val="en-US" w:eastAsia="zh-CN"/>
        </w:rPr>
        <w:t>3</w:t>
      </w:r>
      <w:r>
        <w:rPr>
          <w:rFonts w:hint="eastAsia" w:ascii="宋体" w:hAnsi="宋体"/>
          <w:color w:val="000000"/>
          <w:highlight w:val="none"/>
          <w:u w:val="single"/>
        </w:rPr>
        <w:t xml:space="preserve"> </w:t>
      </w:r>
      <w:r>
        <w:rPr>
          <w:rFonts w:hint="eastAsia" w:ascii="宋体" w:hAnsi="宋体"/>
          <w:color w:val="000000"/>
          <w:highlight w:val="none"/>
        </w:rPr>
        <w:t xml:space="preserve"> 年</w:t>
      </w:r>
      <w:r>
        <w:rPr>
          <w:rFonts w:hint="eastAsia" w:ascii="宋体" w:hAnsi="宋体"/>
          <w:color w:val="000000"/>
          <w:highlight w:val="none"/>
          <w:u w:val="single"/>
        </w:rPr>
        <w:t xml:space="preserve"> 1 </w:t>
      </w:r>
      <w:r>
        <w:rPr>
          <w:rFonts w:hint="eastAsia" w:ascii="宋体" w:hAnsi="宋体"/>
          <w:color w:val="000000"/>
          <w:highlight w:val="none"/>
          <w:u w:val="non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rPr>
        <w:t xml:space="preserve"> 1 </w:t>
      </w:r>
      <w:r>
        <w:rPr>
          <w:rFonts w:hint="eastAsia" w:ascii="宋体" w:hAnsi="宋体"/>
          <w:color w:val="000000"/>
          <w:highlight w:val="none"/>
        </w:rPr>
        <w:t>日至</w:t>
      </w:r>
      <w:r>
        <w:rPr>
          <w:rFonts w:hint="eastAsia" w:ascii="宋体" w:hAnsi="宋体"/>
          <w:color w:val="000000"/>
          <w:highlight w:val="none"/>
          <w:lang w:val="en-US" w:eastAsia="zh-CN"/>
        </w:rPr>
        <w:t>响应</w:t>
      </w:r>
      <w:r>
        <w:rPr>
          <w:rFonts w:hint="eastAsia" w:ascii="宋体" w:hAnsi="宋体"/>
          <w:color w:val="000000"/>
          <w:highlight w:val="none"/>
        </w:rPr>
        <w:t>截止</w:t>
      </w:r>
      <w:r>
        <w:rPr>
          <w:rFonts w:hint="eastAsia" w:ascii="宋体" w:hAnsi="宋体"/>
          <w:color w:val="000000"/>
          <w:highlight w:val="none"/>
          <w:lang w:val="en-US" w:eastAsia="zh-CN"/>
        </w:rPr>
        <w:t>日30</w:t>
      </w:r>
      <w:r>
        <w:rPr>
          <w:rFonts w:hint="eastAsia" w:ascii="宋体" w:hAnsi="宋体"/>
          <w:color w:val="000000"/>
          <w:highlight w:val="none"/>
        </w:rPr>
        <w:t>日</w:t>
      </w:r>
      <w:r>
        <w:rPr>
          <w:rFonts w:hint="eastAsia" w:ascii="宋体" w:hAnsi="宋体"/>
          <w:color w:val="000000"/>
          <w:highlight w:val="none"/>
          <w:lang w:val="en-US" w:eastAsia="zh-CN"/>
        </w:rPr>
        <w:t>前</w:t>
      </w:r>
      <w:r>
        <w:rPr>
          <w:rFonts w:hint="eastAsia" w:ascii="宋体" w:hAnsi="宋体"/>
          <w:color w:val="000000"/>
          <w:highlight w:val="none"/>
        </w:rPr>
        <w:t>实施</w:t>
      </w:r>
      <w:r>
        <w:rPr>
          <w:rFonts w:hint="eastAsia" w:ascii="宋体" w:hAnsi="宋体"/>
          <w:szCs w:val="21"/>
          <w:highlight w:val="none"/>
          <w:lang w:val="en-US" w:eastAsia="zh-CN"/>
        </w:rPr>
        <w:t>成品油运输</w:t>
      </w:r>
      <w:r>
        <w:rPr>
          <w:rFonts w:hint="eastAsia" w:ascii="宋体" w:hAnsi="宋体"/>
          <w:color w:val="000000"/>
          <w:highlight w:val="none"/>
          <w:lang w:val="en-US" w:eastAsia="zh-CN"/>
        </w:rPr>
        <w:t>项目</w:t>
      </w:r>
      <w:r>
        <w:rPr>
          <w:rFonts w:hint="eastAsia" w:ascii="宋体" w:hAnsi="宋体"/>
          <w:color w:val="000000"/>
          <w:highlight w:val="none"/>
        </w:rPr>
        <w:t xml:space="preserve">业绩不少于 </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1</w:t>
      </w:r>
      <w:r>
        <w:rPr>
          <w:rFonts w:hint="eastAsia" w:ascii="宋体" w:hAnsi="宋体"/>
          <w:color w:val="000000"/>
          <w:highlight w:val="none"/>
          <w:u w:val="single"/>
        </w:rPr>
        <w:t xml:space="preserve"> </w:t>
      </w:r>
      <w:r>
        <w:rPr>
          <w:rFonts w:hint="eastAsia" w:ascii="宋体" w:hAnsi="宋体"/>
          <w:color w:val="000000"/>
          <w:highlight w:val="none"/>
        </w:rPr>
        <w:t xml:space="preserve"> 项（以合同签订时间为准），出具相关业绩对应合同扫描件（至少包括合同封面、标的物页、合同明细、签章页）及对应结算发票扫描件，模糊不清或不是</w:t>
      </w:r>
      <w:r>
        <w:rPr>
          <w:rFonts w:hint="eastAsia" w:ascii="宋体" w:hAnsi="宋体"/>
          <w:color w:val="000000"/>
          <w:highlight w:val="none"/>
          <w:lang w:val="en-US" w:eastAsia="zh-CN"/>
        </w:rPr>
        <w:t>同类别</w:t>
      </w:r>
      <w:r>
        <w:rPr>
          <w:rFonts w:hint="eastAsia" w:ascii="宋体" w:hAnsi="宋体"/>
          <w:color w:val="000000"/>
          <w:highlight w:val="none"/>
        </w:rPr>
        <w:t>业绩的不予认定。</w:t>
      </w:r>
    </w:p>
    <w:p>
      <w:pPr>
        <w:widowControl/>
        <w:spacing w:line="400" w:lineRule="exact"/>
        <w:ind w:firstLine="420" w:firstLineChars="200"/>
        <w:jc w:val="left"/>
        <w:rPr>
          <w:rFonts w:hint="eastAsia"/>
          <w:szCs w:val="21"/>
          <w:highlight w:val="none"/>
        </w:rPr>
      </w:pPr>
      <w:r>
        <w:rPr>
          <w:rFonts w:hint="eastAsia" w:ascii="宋体" w:hAnsi="宋体"/>
          <w:szCs w:val="21"/>
          <w:highlight w:val="none"/>
          <w:lang w:val="en-US" w:eastAsia="zh-CN"/>
        </w:rPr>
        <w:t>4</w:t>
      </w:r>
      <w:r>
        <w:rPr>
          <w:rFonts w:hint="eastAsia" w:ascii="宋体" w:hAnsi="宋体"/>
          <w:szCs w:val="21"/>
          <w:highlight w:val="none"/>
        </w:rPr>
        <w:t>. 财务要求：</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w:t>
      </w:r>
      <w:r>
        <w:rPr>
          <w:rFonts w:hint="eastAsia" w:ascii="宋体" w:hAnsi="宋体"/>
          <w:szCs w:val="21"/>
          <w:highlight w:val="none"/>
        </w:rPr>
        <w:t>月</w:t>
      </w:r>
      <w:r>
        <w:rPr>
          <w:rFonts w:hint="eastAsia" w:ascii="宋体" w:hAnsi="宋体"/>
          <w:szCs w:val="21"/>
          <w:highlight w:val="none"/>
          <w:u w:val="single"/>
          <w:lang w:val="en-US" w:eastAsia="zh-CN"/>
        </w:rPr>
        <w:t>1</w:t>
      </w:r>
      <w:r>
        <w:rPr>
          <w:rFonts w:hint="eastAsia" w:ascii="宋体" w:hAnsi="宋体"/>
          <w:szCs w:val="21"/>
          <w:highlight w:val="none"/>
        </w:rPr>
        <w:t>日</w:t>
      </w:r>
      <w:r>
        <w:rPr>
          <w:rFonts w:hint="eastAsia"/>
          <w:szCs w:val="20"/>
          <w:highlight w:val="none"/>
        </w:rPr>
        <w:t>至</w:t>
      </w:r>
      <w:r>
        <w:rPr>
          <w:rFonts w:hint="eastAsia" w:ascii="宋体" w:hAnsi="宋体" w:cs="宋体"/>
          <w:kern w:val="0"/>
          <w:szCs w:val="21"/>
          <w:highlight w:val="none"/>
        </w:rPr>
        <w:t>响应</w:t>
      </w:r>
      <w:r>
        <w:rPr>
          <w:rFonts w:hint="eastAsia"/>
          <w:szCs w:val="20"/>
          <w:highlight w:val="none"/>
        </w:rPr>
        <w:t>截止之日</w:t>
      </w:r>
      <w:r>
        <w:rPr>
          <w:rFonts w:hint="eastAsia" w:ascii="宋体" w:cs="宋体"/>
          <w:szCs w:val="21"/>
          <w:highlight w:val="none"/>
        </w:rPr>
        <w:t>财务状况良好，无不良记录，具有良好的银</w:t>
      </w:r>
      <w:r>
        <w:rPr>
          <w:rFonts w:hint="eastAsia"/>
          <w:highlight w:val="none"/>
        </w:rPr>
        <w:t>行资信和企业信誉，没有处于被责令停业、财产被接管、冻结、破产或其他关、停、并、转状态，以上提供相应承诺；</w:t>
      </w:r>
      <w:r>
        <w:rPr>
          <w:rFonts w:hint="eastAsia" w:ascii="宋体" w:hAnsi="宋体"/>
          <w:szCs w:val="21"/>
          <w:highlight w:val="none"/>
        </w:rPr>
        <w:t xml:space="preserve">提供 </w:t>
      </w:r>
      <w:r>
        <w:rPr>
          <w:rFonts w:hint="eastAsia" w:ascii="宋体" w:hAnsi="宋体"/>
          <w:szCs w:val="21"/>
          <w:highlight w:val="none"/>
          <w:u w:val="single"/>
          <w:lang w:val="en-US" w:eastAsia="zh-CN"/>
        </w:rPr>
        <w:t>2024</w:t>
      </w:r>
      <w:r>
        <w:rPr>
          <w:rFonts w:hint="eastAsia" w:ascii="宋体" w:hAnsi="宋体"/>
          <w:szCs w:val="21"/>
          <w:highlight w:val="none"/>
        </w:rPr>
        <w:t>年加盖企业公章的</w:t>
      </w:r>
      <w:r>
        <w:rPr>
          <w:highlight w:val="none"/>
        </w:rPr>
        <w:t>经会计师事务所或审计机构审计的审计报告主要内容页（包括资产负债表、现金流量表、利润表，</w:t>
      </w:r>
      <w:r>
        <w:rPr>
          <w:rFonts w:hint="eastAsia"/>
          <w:szCs w:val="21"/>
          <w:highlight w:val="none"/>
        </w:rPr>
        <w:t>缺失任何一项视为未提供</w:t>
      </w:r>
      <w:r>
        <w:rPr>
          <w:highlight w:val="none"/>
        </w:rPr>
        <w:t>）影印件，</w:t>
      </w:r>
      <w:r>
        <w:rPr>
          <w:rFonts w:hint="eastAsia"/>
          <w:szCs w:val="21"/>
          <w:highlight w:val="none"/>
        </w:rPr>
        <w:t>若公司成立不足一年，提供</w:t>
      </w:r>
      <w:r>
        <w:rPr>
          <w:rFonts w:hint="eastAsia"/>
          <w:szCs w:val="21"/>
          <w:highlight w:val="none"/>
          <w:lang w:val="en-US" w:eastAsia="zh-CN"/>
        </w:rPr>
        <w:t>2025年9月</w:t>
      </w:r>
      <w:r>
        <w:rPr>
          <w:rFonts w:hint="eastAsia" w:ascii="宋体" w:hAnsi="宋体"/>
          <w:szCs w:val="21"/>
          <w:highlight w:val="none"/>
        </w:rPr>
        <w:t>加盖企业公章</w:t>
      </w:r>
      <w:r>
        <w:rPr>
          <w:rFonts w:hint="eastAsia"/>
          <w:szCs w:val="21"/>
          <w:highlight w:val="none"/>
        </w:rPr>
        <w:t>的财务报表，</w:t>
      </w:r>
      <w:r>
        <w:rPr>
          <w:highlight w:val="none"/>
        </w:rPr>
        <w:t>包括资产负债表、利润表、现金流量表影印件，</w:t>
      </w:r>
      <w:r>
        <w:rPr>
          <w:rFonts w:hint="eastAsia"/>
          <w:szCs w:val="21"/>
          <w:highlight w:val="none"/>
        </w:rPr>
        <w:t>缺失任何一项视为未提供。</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5. 车辆及驾押人员要求：</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（1）车辆要求：响应人提供满足服</w:t>
      </w:r>
      <w:r>
        <w:rPr>
          <w:rFonts w:hint="eastAsia" w:ascii="宋体" w:hAnsi="宋体" w:cs="宋体"/>
          <w:color w:val="auto"/>
          <w:kern w:val="0"/>
          <w:szCs w:val="21"/>
          <w:highlight w:val="none"/>
        </w:rPr>
        <w:t>务要求的油罐车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5吨位及以上</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，总数不少于5台，且</w:t>
      </w:r>
      <w:r>
        <w:rPr>
          <w:rFonts w:hint="eastAsia" w:ascii="宋体" w:hAnsi="宋体" w:cs="宋体"/>
          <w:kern w:val="0"/>
          <w:szCs w:val="21"/>
        </w:rPr>
        <w:t>必须在使用年限内，以行驶证注册日期为准，所有车辆设备均归属</w:t>
      </w:r>
      <w:r>
        <w:rPr>
          <w:rFonts w:hint="eastAsia" w:ascii="宋体" w:hAnsi="宋体" w:cs="宋体"/>
          <w:kern w:val="0"/>
          <w:szCs w:val="21"/>
          <w:lang w:val="en-US" w:eastAsia="zh-CN"/>
        </w:rPr>
        <w:t>响应</w:t>
      </w:r>
      <w:r>
        <w:rPr>
          <w:rFonts w:hint="eastAsia" w:ascii="宋体" w:hAnsi="宋体" w:cs="宋体"/>
          <w:kern w:val="0"/>
          <w:szCs w:val="21"/>
        </w:rPr>
        <w:t>人自有（提供机动车行驶证和营运证）；车辆必须安装符合国家相关规范和标准的卫星定位、车载视频监控装置</w:t>
      </w:r>
      <w:r>
        <w:rPr>
          <w:rFonts w:hint="eastAsia" w:ascii="宋体" w:hAnsi="宋体" w:cs="宋体"/>
          <w:kern w:val="0"/>
          <w:szCs w:val="21"/>
          <w:lang w:eastAsia="zh-CN"/>
        </w:rPr>
        <w:t>，</w:t>
      </w:r>
      <w:r>
        <w:rPr>
          <w:rFonts w:hint="eastAsia" w:ascii="宋体" w:hAnsi="宋体" w:cs="宋体"/>
          <w:kern w:val="0"/>
          <w:szCs w:val="21"/>
          <w:lang w:val="en-US" w:eastAsia="zh-CN"/>
        </w:rPr>
        <w:t>提供</w:t>
      </w:r>
      <w:r>
        <w:rPr>
          <w:rFonts w:hint="eastAsia" w:ascii="宋体" w:hAnsi="宋体" w:cs="宋体"/>
          <w:kern w:val="0"/>
          <w:szCs w:val="21"/>
        </w:rPr>
        <w:t>相关证明材料扫描件；车辆需提供有效的强制保险和第三者责任险，以及定期罐检证明（提供相应保险单、罐检证明扫描件）。</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（2）驾驶人员要求：每部车辆配置一名驾驶员，须提供选派驾驶员的有效身份证（即：身份证正反面）、有效的驾驶证、危化品运输从业资格证。</w:t>
      </w:r>
    </w:p>
    <w:p>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（3）押运人员要求：每部车辆配置一名押运员，须提供选派押运人员名单及对应有效身份证正反面描件、交通运输主管部门颁发的危化品从业资格证扫描件。</w:t>
      </w:r>
    </w:p>
    <w:p>
      <w:pPr>
        <w:widowControl/>
        <w:spacing w:line="460" w:lineRule="exact"/>
        <w:ind w:firstLine="420" w:firstLineChars="200"/>
        <w:jc w:val="left"/>
        <w:rPr>
          <w:rFonts w:hint="eastAsia"/>
          <w:highlight w:val="none"/>
        </w:rPr>
      </w:pPr>
      <w:r>
        <w:rPr>
          <w:rFonts w:hint="eastAsia"/>
          <w:highlight w:val="none"/>
          <w:lang w:val="en-US" w:eastAsia="zh-CN"/>
        </w:rPr>
        <w:t>6</w:t>
      </w:r>
      <w:r>
        <w:rPr>
          <w:rFonts w:hint="eastAsia"/>
          <w:highlight w:val="none"/>
        </w:rPr>
        <w:t>. 信誉要求：</w:t>
      </w:r>
    </w:p>
    <w:p>
      <w:pPr>
        <w:widowControl/>
        <w:spacing w:line="460" w:lineRule="exact"/>
        <w:ind w:firstLine="420" w:firstLineChars="200"/>
        <w:jc w:val="left"/>
        <w:rPr>
          <w:rFonts w:hint="eastAsia"/>
          <w:highlight w:val="none"/>
        </w:rPr>
      </w:pPr>
      <w:r>
        <w:rPr>
          <w:rFonts w:hint="eastAsia"/>
          <w:highlight w:val="none"/>
        </w:rPr>
        <w:t>（1）</w:t>
      </w:r>
      <w:r>
        <w:rPr>
          <w:rFonts w:hint="eastAsia"/>
          <w:highlight w:val="none"/>
          <w:lang w:val="en-US" w:eastAsia="zh-CN"/>
        </w:rPr>
        <w:t>响应人</w:t>
      </w:r>
      <w:r>
        <w:rPr>
          <w:rFonts w:hint="eastAsia"/>
          <w:highlight w:val="none"/>
        </w:rPr>
        <w:t>未被“国家企业信用信息公示系统”网站（www.gsxt.gov.cn）列入严重违法失信企业名单。</w:t>
      </w:r>
    </w:p>
    <w:p>
      <w:pPr>
        <w:widowControl/>
        <w:spacing w:line="400" w:lineRule="exact"/>
        <w:ind w:firstLine="420" w:firstLineChars="200"/>
        <w:rPr>
          <w:rFonts w:hint="eastAsia"/>
          <w:highlight w:val="none"/>
        </w:rPr>
      </w:pPr>
      <w:r>
        <w:rPr>
          <w:rFonts w:hint="eastAsia"/>
          <w:highlight w:val="none"/>
        </w:rPr>
        <w:t>（2）</w:t>
      </w:r>
      <w:r>
        <w:rPr>
          <w:rFonts w:hint="eastAsia"/>
          <w:highlight w:val="none"/>
          <w:lang w:val="en-US" w:eastAsia="zh-CN"/>
        </w:rPr>
        <w:t>响应</w:t>
      </w:r>
      <w:r>
        <w:rPr>
          <w:rFonts w:hint="eastAsia"/>
          <w:highlight w:val="none"/>
        </w:rPr>
        <w:t>人、法定代表人或者负责人未被人民法院在“信用中国”网站（www.creditchina.gov.cn）列入失信被执行人。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（3）截至响应之日未被中国石油招标投标网暂停或取消投标资格的。</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 诉讼及仲裁情况要求：自</w:t>
      </w:r>
      <w:r>
        <w:rPr>
          <w:rFonts w:hint="eastAsia" w:ascii="宋体" w:hAnsi="宋体"/>
          <w:szCs w:val="21"/>
          <w:highlight w:val="none"/>
          <w:u w:val="single"/>
          <w:lang w:val="en-US" w:eastAsia="zh-CN"/>
        </w:rPr>
        <w:t>2022</w:t>
      </w:r>
      <w:r>
        <w:rPr>
          <w:rFonts w:hint="eastAsia" w:ascii="宋体" w:hAnsi="宋体"/>
          <w:szCs w:val="21"/>
          <w:highlight w:val="none"/>
        </w:rPr>
        <w:t>年</w:t>
      </w:r>
      <w:r>
        <w:rPr>
          <w:rFonts w:hint="eastAsia" w:ascii="宋体" w:hAnsi="宋体"/>
          <w:szCs w:val="21"/>
          <w:highlight w:val="none"/>
          <w:u w:val="single"/>
          <w:lang w:val="en-US" w:eastAsia="zh-CN"/>
        </w:rPr>
        <w:t>1</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w:t>
      </w:r>
      <w:r>
        <w:rPr>
          <w:rFonts w:hint="eastAsia" w:ascii="宋体" w:hAnsi="宋体"/>
          <w:szCs w:val="21"/>
          <w:highlight w:val="none"/>
        </w:rPr>
        <w:t>日至</w:t>
      </w:r>
      <w:r>
        <w:rPr>
          <w:rFonts w:hint="eastAsia" w:ascii="宋体" w:hAnsi="宋体" w:cs="宋体"/>
          <w:kern w:val="0"/>
          <w:szCs w:val="21"/>
          <w:highlight w:val="none"/>
        </w:rPr>
        <w:t>响应</w:t>
      </w:r>
      <w:r>
        <w:rPr>
          <w:rFonts w:hint="eastAsia" w:ascii="宋体" w:hAnsi="宋体"/>
          <w:szCs w:val="21"/>
          <w:highlight w:val="none"/>
        </w:rPr>
        <w:t>截止之日期间未发生过对服务商影响重大的诉讼案件，提供</w:t>
      </w:r>
      <w:r>
        <w:rPr>
          <w:rFonts w:hint="eastAsia" w:ascii="宋体" w:hAnsi="宋体"/>
          <w:szCs w:val="21"/>
          <w:highlight w:val="none"/>
          <w:lang w:val="en-US" w:eastAsia="zh-CN"/>
        </w:rPr>
        <w:t>承诺</w:t>
      </w:r>
      <w:r>
        <w:rPr>
          <w:rFonts w:hint="eastAsia" w:ascii="宋体" w:hAnsi="宋体"/>
          <w:szCs w:val="21"/>
          <w:highlight w:val="none"/>
        </w:rPr>
        <w:t>。</w:t>
      </w:r>
    </w:p>
    <w:p>
      <w:pPr>
        <w:widowControl/>
        <w:spacing w:line="400" w:lineRule="exact"/>
        <w:ind w:firstLine="420" w:firstLineChars="200"/>
        <w:jc w:val="left"/>
        <w:rPr>
          <w:highlight w:val="none"/>
        </w:rPr>
      </w:pPr>
      <w:r>
        <w:rPr>
          <w:rFonts w:hint="eastAsia" w:ascii="宋体" w:hAnsi="宋体"/>
          <w:highlight w:val="none"/>
          <w:lang w:val="en-US" w:eastAsia="zh-CN"/>
        </w:rPr>
        <w:t>8</w:t>
      </w:r>
      <w:r>
        <w:rPr>
          <w:rFonts w:hint="eastAsia" w:ascii="宋体" w:hAnsi="宋体"/>
          <w:highlight w:val="none"/>
        </w:rPr>
        <w:t>.</w:t>
      </w:r>
      <w:r>
        <w:rPr>
          <w:rFonts w:ascii="宋体" w:hAnsi="宋体"/>
          <w:highlight w:val="none"/>
        </w:rPr>
        <w:t xml:space="preserve"> </w:t>
      </w:r>
      <w:r>
        <w:rPr>
          <w:highlight w:val="none"/>
        </w:rPr>
        <w:t>本次</w:t>
      </w:r>
      <w:r>
        <w:rPr>
          <w:rFonts w:hint="eastAsia"/>
          <w:highlight w:val="none"/>
        </w:rPr>
        <w:t>采购</w:t>
      </w:r>
      <w:r>
        <w:rPr>
          <w:highlight w:val="none"/>
        </w:rPr>
        <w:t>不接受联合体</w:t>
      </w:r>
      <w:r>
        <w:rPr>
          <w:rFonts w:hint="eastAsia"/>
          <w:highlight w:val="none"/>
        </w:rPr>
        <w:t>服务商</w:t>
      </w:r>
      <w:r>
        <w:rPr>
          <w:highlight w:val="none"/>
        </w:rPr>
        <w:t>。</w:t>
      </w:r>
    </w:p>
    <w:p>
      <w:pPr>
        <w:widowControl/>
        <w:spacing w:beforeLines="0" w:afterLines="0" w:line="360" w:lineRule="auto"/>
        <w:ind w:firstLine="211" w:firstLineChars="100"/>
        <w:jc w:val="left"/>
        <w:rPr>
          <w:color w:val="auto"/>
          <w:highlight w:val="none"/>
        </w:rPr>
      </w:pPr>
      <w:r>
        <w:rPr>
          <w:rFonts w:hint="eastAsia" w:ascii="宋体" w:hAnsi="宋体"/>
          <w:b/>
          <w:color w:val="0000FF"/>
          <w:szCs w:val="21"/>
          <w:highlight w:val="none"/>
        </w:rPr>
        <w:t>以上条款如不满足，将否决其参与资格。</w:t>
      </w:r>
      <w:r>
        <w:rPr>
          <w:rFonts w:hint="eastAsia"/>
          <w:color w:val="auto"/>
          <w:highlight w:val="none"/>
          <w:lang w:eastAsia="zh-CN"/>
        </w:rPr>
        <w:t>成交人</w:t>
      </w:r>
      <w:r>
        <w:rPr>
          <w:rFonts w:hint="eastAsia"/>
          <w:color w:val="auto"/>
          <w:highlight w:val="none"/>
        </w:rPr>
        <w:t>必须保证上述材料的真实性，</w:t>
      </w:r>
      <w:r>
        <w:rPr>
          <w:rFonts w:hint="eastAsia"/>
          <w:color w:val="auto"/>
          <w:highlight w:val="none"/>
          <w:lang w:eastAsia="zh-CN"/>
        </w:rPr>
        <w:t>采购</w:t>
      </w:r>
      <w:r>
        <w:rPr>
          <w:rFonts w:hint="eastAsia"/>
          <w:color w:val="auto"/>
          <w:highlight w:val="none"/>
        </w:rPr>
        <w:t>人保留核查的权利，对于弄虚作假的行为，三年内不得参加</w:t>
      </w:r>
      <w:r>
        <w:rPr>
          <w:rFonts w:hint="eastAsia"/>
          <w:color w:val="auto"/>
          <w:highlight w:val="none"/>
          <w:lang w:val="en-US" w:eastAsia="zh-CN"/>
        </w:rPr>
        <w:t>中国石油昆仑物流有限公司</w:t>
      </w:r>
      <w:r>
        <w:rPr>
          <w:rFonts w:hint="eastAsia"/>
          <w:color w:val="auto"/>
          <w:highlight w:val="none"/>
        </w:rPr>
        <w:t>招标项目，本项目若中标则取消中标资格。</w:t>
      </w:r>
    </w:p>
    <w:p>
      <w:pPr>
        <w:pageBreakBefore w:val="0"/>
        <w:widowControl/>
        <w:kinsoku/>
        <w:wordWrap/>
        <w:overflowPunct/>
        <w:topLinePunct w:val="0"/>
        <w:autoSpaceDE/>
        <w:autoSpaceDN/>
        <w:bidi w:val="0"/>
        <w:adjustRightInd/>
        <w:snapToGrid/>
        <w:spacing w:beforeLines="0" w:afterLines="0" w:line="380" w:lineRule="exact"/>
        <w:jc w:val="left"/>
        <w:textAlignment w:val="auto"/>
        <w:rPr>
          <w:rFonts w:hint="eastAsia" w:ascii="宋体" w:hAnsi="宋体" w:cs="宋体"/>
          <w:b/>
          <w:bCs/>
          <w:color w:val="auto"/>
          <w:szCs w:val="21"/>
          <w:highlight w:val="none"/>
          <w:lang w:val="en-US" w:eastAsia="zh-CN"/>
        </w:rPr>
      </w:pPr>
    </w:p>
    <w:p>
      <w:pPr>
        <w:pageBreakBefore w:val="0"/>
        <w:widowControl/>
        <w:kinsoku/>
        <w:wordWrap/>
        <w:overflowPunct/>
        <w:topLinePunct w:val="0"/>
        <w:autoSpaceDE/>
        <w:autoSpaceDN/>
        <w:bidi w:val="0"/>
        <w:adjustRightInd/>
        <w:snapToGrid/>
        <w:spacing w:beforeLines="0" w:afterLines="0" w:line="380" w:lineRule="exact"/>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六、报名起止时间及采购</w:t>
      </w:r>
      <w:r>
        <w:rPr>
          <w:rFonts w:hint="eastAsia" w:ascii="宋体" w:hAnsi="宋体" w:cs="宋体"/>
          <w:b/>
          <w:bCs/>
          <w:color w:val="auto"/>
          <w:szCs w:val="21"/>
          <w:highlight w:val="none"/>
        </w:rPr>
        <w:t>文件的获取：</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1</w:t>
      </w:r>
      <w:r>
        <w:rPr>
          <w:rFonts w:hint="eastAsia" w:ascii="宋体" w:hAnsi="宋体" w:eastAsia="宋体" w:cs="宋体"/>
          <w:color w:val="auto"/>
          <w:spacing w:val="0"/>
          <w:highlight w:val="none"/>
          <w:lang w:eastAsia="zh-CN"/>
        </w:rPr>
        <w:t>.</w:t>
      </w:r>
      <w:r>
        <w:rPr>
          <w:rFonts w:hint="eastAsia" w:ascii="宋体" w:hAnsi="宋体" w:cs="宋体"/>
          <w:color w:val="auto"/>
          <w:spacing w:val="0"/>
          <w:highlight w:val="none"/>
          <w:lang w:val="en-US" w:eastAsia="zh-CN"/>
        </w:rPr>
        <w:t>报名起止</w:t>
      </w:r>
      <w:r>
        <w:rPr>
          <w:rFonts w:hint="eastAsia" w:ascii="宋体" w:hAnsi="宋体" w:eastAsia="宋体" w:cs="宋体"/>
          <w:color w:val="auto"/>
          <w:spacing w:val="0"/>
          <w:highlight w:val="none"/>
        </w:rPr>
        <w:t>时间：</w:t>
      </w:r>
      <w:r>
        <w:rPr>
          <w:rFonts w:hint="eastAsia" w:ascii="宋体" w:hAnsi="宋体" w:eastAsia="宋体" w:cs="宋体"/>
          <w:color w:val="auto"/>
          <w:spacing w:val="0"/>
          <w:highlight w:val="none"/>
          <w:lang w:val="en-US" w:eastAsia="zh-CN"/>
        </w:rPr>
        <w:t>凡有意参加的供应商，请于北京时间</w:t>
      </w:r>
      <w:r>
        <w:rPr>
          <w:rFonts w:hint="eastAsia" w:ascii="宋体" w:hAnsi="宋体" w:cs="宋体"/>
          <w:b/>
          <w:bCs/>
          <w:highlight w:val="yellow"/>
        </w:rPr>
        <w:t>2025 年</w:t>
      </w:r>
      <w:r>
        <w:rPr>
          <w:rFonts w:hint="eastAsia" w:ascii="宋体" w:hAnsi="宋体" w:cs="宋体"/>
          <w:b/>
          <w:bCs/>
          <w:highlight w:val="yellow"/>
          <w:lang w:val="en-US" w:eastAsia="zh-CN"/>
        </w:rPr>
        <w:t>11</w:t>
      </w:r>
      <w:r>
        <w:rPr>
          <w:rFonts w:hint="eastAsia" w:ascii="宋体" w:hAnsi="宋体" w:cs="宋体"/>
          <w:b/>
          <w:bCs/>
          <w:highlight w:val="yellow"/>
        </w:rPr>
        <w:t>月</w:t>
      </w:r>
      <w:r>
        <w:rPr>
          <w:rFonts w:hint="eastAsia" w:ascii="宋体" w:hAnsi="宋体" w:cs="宋体"/>
          <w:b/>
          <w:bCs/>
          <w:highlight w:val="yellow"/>
          <w:lang w:val="en-US" w:eastAsia="zh-CN"/>
        </w:rPr>
        <w:t>3</w:t>
      </w:r>
      <w:r>
        <w:rPr>
          <w:rFonts w:hint="eastAsia" w:ascii="宋体" w:hAnsi="宋体" w:cs="宋体"/>
          <w:b/>
          <w:bCs/>
          <w:highlight w:val="yellow"/>
        </w:rPr>
        <w:t>日至 2025 年</w:t>
      </w:r>
      <w:r>
        <w:rPr>
          <w:rFonts w:hint="eastAsia" w:ascii="宋体" w:hAnsi="宋体" w:cs="宋体"/>
          <w:b/>
          <w:bCs/>
          <w:highlight w:val="yellow"/>
          <w:lang w:val="en-US" w:eastAsia="zh-CN"/>
        </w:rPr>
        <w:t>11</w:t>
      </w:r>
      <w:r>
        <w:rPr>
          <w:rFonts w:hint="eastAsia" w:ascii="宋体" w:hAnsi="宋体" w:cs="宋体"/>
          <w:b/>
          <w:bCs/>
          <w:highlight w:val="yellow"/>
        </w:rPr>
        <w:t>月</w:t>
      </w:r>
      <w:r>
        <w:rPr>
          <w:rFonts w:hint="eastAsia" w:ascii="宋体" w:hAnsi="宋体" w:cs="宋体"/>
          <w:b/>
          <w:bCs/>
          <w:highlight w:val="yellow"/>
          <w:lang w:val="en-US" w:eastAsia="zh-CN"/>
        </w:rPr>
        <w:t>6</w:t>
      </w:r>
      <w:r>
        <w:rPr>
          <w:rFonts w:hint="eastAsia" w:ascii="宋体" w:hAnsi="宋体" w:cs="宋体"/>
          <w:b/>
          <w:bCs/>
          <w:highlight w:val="yellow"/>
        </w:rPr>
        <w:t>日</w:t>
      </w:r>
      <w:r>
        <w:rPr>
          <w:rFonts w:hint="eastAsia" w:ascii="宋体" w:hAnsi="宋体" w:cs="宋体"/>
          <w:b/>
          <w:bCs/>
          <w:highlight w:val="yellow"/>
          <w:lang w:val="en-US" w:eastAsia="zh-CN"/>
        </w:rPr>
        <w:t>10</w:t>
      </w:r>
      <w:r>
        <w:rPr>
          <w:rFonts w:hint="eastAsia" w:ascii="宋体" w:hAnsi="宋体" w:cs="宋体"/>
          <w:b/>
          <w:bCs/>
          <w:highlight w:val="yellow"/>
        </w:rPr>
        <w:t>：00</w:t>
      </w:r>
      <w:r>
        <w:rPr>
          <w:rFonts w:hint="eastAsia" w:ascii="宋体" w:hAnsi="宋体" w:cs="宋体"/>
          <w:highlight w:val="none"/>
        </w:rPr>
        <w:t>前将以下报名资料填好盖</w:t>
      </w:r>
      <w:bookmarkStart w:id="19" w:name="_GoBack"/>
      <w:bookmarkEnd w:id="19"/>
      <w:r>
        <w:rPr>
          <w:rFonts w:hint="eastAsia" w:ascii="宋体" w:hAnsi="宋体" w:cs="宋体"/>
          <w:highlight w:val="none"/>
        </w:rPr>
        <w:t>章并扫描成一个PDF文件同报名表电子版一同提交至中国石油昆仑物流有限公司智慧采购平台系统中完成报名。（报名资料接收时间以系统接收时间为准，逾</w:t>
      </w:r>
      <w:r>
        <w:rPr>
          <w:rFonts w:hint="eastAsia" w:ascii="宋体" w:hAnsi="宋体" w:cs="宋体"/>
          <w:b/>
          <w:bCs/>
          <w:highlight w:val="none"/>
        </w:rPr>
        <w:t>期不予受理）。</w:t>
      </w:r>
    </w:p>
    <w:p>
      <w:pPr>
        <w:autoSpaceDE w:val="0"/>
        <w:spacing w:line="460" w:lineRule="exact"/>
        <w:ind w:firstLine="422" w:firstLineChars="200"/>
        <w:rPr>
          <w:rFonts w:hint="eastAsia" w:ascii="宋体" w:hAnsi="宋体" w:cs="宋体"/>
          <w:szCs w:val="21"/>
          <w:highlight w:val="none"/>
        </w:rPr>
      </w:pPr>
      <w:r>
        <w:rPr>
          <w:rFonts w:hint="eastAsia" w:ascii="宋体" w:hAnsi="宋体" w:cs="宋体"/>
          <w:b/>
          <w:bCs/>
          <w:highlight w:val="none"/>
        </w:rPr>
        <w:t>提示：</w:t>
      </w:r>
      <w:r>
        <w:rPr>
          <w:rFonts w:hint="eastAsia" w:ascii="宋体" w:hAnsi="宋体" w:cs="宋体"/>
          <w:szCs w:val="21"/>
          <w:highlight w:val="none"/>
        </w:rPr>
        <w:t>因服务商原因导致报名不成功的，服务商自行承担责任。未按要求提交报名资料的不予受理，未报名的、未从组织机构取得采购文件的服务商不能参与项目。</w:t>
      </w:r>
    </w:p>
    <w:p>
      <w:pPr>
        <w:spacing w:after="160" w:line="460" w:lineRule="exact"/>
        <w:ind w:firstLine="422" w:firstLineChars="200"/>
        <w:rPr>
          <w:rFonts w:ascii="宋体" w:hAnsi="宋体" w:cs="宋体"/>
          <w:b/>
          <w:bCs/>
          <w:highlight w:val="none"/>
        </w:rPr>
      </w:pPr>
      <w:r>
        <w:rPr>
          <w:rFonts w:hint="eastAsia" w:ascii="宋体" w:hAnsi="宋体" w:cs="宋体"/>
          <w:b/>
          <w:bCs/>
          <w:szCs w:val="21"/>
          <w:highlight w:val="none"/>
        </w:rPr>
        <w:t>2.报名方式：服务商</w:t>
      </w:r>
      <w:r>
        <w:rPr>
          <w:rFonts w:hint="eastAsia" w:ascii="宋体" w:hAnsi="宋体" w:cs="宋体"/>
          <w:szCs w:val="21"/>
          <w:highlight w:val="none"/>
        </w:rPr>
        <w:t>进入“中国石油昆仑物流有限公司智慧采购平台——供应商业务中心”（网址：http://223.71.48.122/supplier），在“供应商登录”窗口输入账号和密码，登录到“供应商业务中心”，进入“投标服务商报名”下选择对应的采购项目完成系统报名。若无账号请先完成注册，再进行线上报名及后续项目组织实施过程的线上操作（账号为统一社会信用代码）。</w:t>
      </w:r>
    </w:p>
    <w:p>
      <w:pPr>
        <w:pStyle w:val="7"/>
        <w:ind w:firstLine="420" w:firstLineChars="200"/>
        <w:rPr>
          <w:rFonts w:hint="eastAsia" w:ascii="宋体" w:hAnsi="宋体" w:eastAsia="宋体" w:cs="Times New Roman"/>
          <w:b w:val="0"/>
          <w:kern w:val="0"/>
          <w:sz w:val="21"/>
          <w:szCs w:val="21"/>
          <w:highlight w:val="none"/>
          <w:lang w:val="en-US" w:eastAsia="zh-CN" w:bidi="ar-SA"/>
        </w:rPr>
      </w:pPr>
      <w:r>
        <w:rPr>
          <w:rFonts w:hint="eastAsia" w:ascii="宋体" w:hAnsi="宋体" w:eastAsia="宋体" w:cs="Times New Roman"/>
          <w:b w:val="0"/>
          <w:kern w:val="0"/>
          <w:sz w:val="21"/>
          <w:szCs w:val="21"/>
          <w:highlight w:val="none"/>
          <w:lang w:val="en-US" w:eastAsia="zh-CN" w:bidi="ar-SA"/>
        </w:rPr>
        <w:t>2.</w:t>
      </w:r>
      <w:r>
        <w:rPr>
          <w:rFonts w:hint="eastAsia"/>
          <w:b/>
          <w:bCs/>
          <w:color w:val="0000FF"/>
          <w:sz w:val="24"/>
          <w:szCs w:val="24"/>
          <w:highlight w:val="none"/>
          <w:lang w:val="en-US" w:eastAsia="zh-CN"/>
        </w:rPr>
        <w:t>报名资料</w:t>
      </w:r>
      <w:r>
        <w:rPr>
          <w:rFonts w:hint="eastAsia" w:ascii="宋体" w:hAnsi="宋体" w:cs="Times New Roman"/>
          <w:b w:val="0"/>
          <w:kern w:val="0"/>
          <w:sz w:val="21"/>
          <w:szCs w:val="21"/>
          <w:highlight w:val="none"/>
          <w:lang w:val="en-US" w:eastAsia="zh-CN" w:bidi="ar-SA"/>
        </w:rPr>
        <w:t>包括</w:t>
      </w:r>
      <w:r>
        <w:rPr>
          <w:rFonts w:hint="eastAsia" w:ascii="宋体" w:hAnsi="宋体" w:eastAsia="宋体" w:cs="Times New Roman"/>
          <w:b w:val="0"/>
          <w:kern w:val="0"/>
          <w:sz w:val="21"/>
          <w:szCs w:val="21"/>
          <w:highlight w:val="none"/>
          <w:lang w:val="en-US" w:eastAsia="zh-CN" w:bidi="ar-SA"/>
        </w:rPr>
        <w:t>：①《报名登记表》；② 营业执照 ③ 开户银行许可证④法定代表人身份证明书；⑤授权委托书（法定代表人自行办理获取采购文件事宜的无需授权委托书）等，资料格式见智慧平台下载。</w:t>
      </w:r>
    </w:p>
    <w:p>
      <w:pPr>
        <w:pStyle w:val="12"/>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default"/>
          <w:b w:val="0"/>
          <w:bCs w:val="0"/>
          <w:highlight w:val="none"/>
          <w:lang w:val="en-US" w:eastAsia="zh-CN"/>
        </w:rPr>
      </w:pPr>
      <w:r>
        <w:rPr>
          <w:rFonts w:hint="eastAsia"/>
          <w:highlight w:val="none"/>
          <w:lang w:val="en-US" w:eastAsia="zh-CN"/>
        </w:rPr>
        <w:t>报名时请将</w:t>
      </w:r>
      <w:r>
        <w:rPr>
          <w:rFonts w:hint="eastAsia" w:cs="Times New Roman"/>
          <w:b/>
          <w:bCs/>
          <w:color w:val="0000FF"/>
          <w:highlight w:val="none"/>
          <w:lang w:val="en-US" w:eastAsia="zh-CN"/>
        </w:rPr>
        <w:t>付款凭证截图</w:t>
      </w:r>
      <w:r>
        <w:rPr>
          <w:rFonts w:hint="eastAsia"/>
          <w:highlight w:val="none"/>
          <w:lang w:val="en-US" w:eastAsia="zh-CN"/>
        </w:rPr>
        <w:t>、</w:t>
      </w:r>
      <w:r>
        <w:rPr>
          <w:rFonts w:hint="eastAsia"/>
          <w:b/>
          <w:bCs/>
          <w:color w:val="0000FF"/>
          <w:highlight w:val="none"/>
          <w:lang w:val="en-US" w:eastAsia="zh-CN"/>
        </w:rPr>
        <w:t>开票函盖章扫描件、</w:t>
      </w:r>
      <w:r>
        <w:rPr>
          <w:rFonts w:hint="eastAsia"/>
          <w:highlight w:val="none"/>
          <w:lang w:val="en-US" w:eastAsia="zh-CN"/>
        </w:rPr>
        <w:t>和</w:t>
      </w:r>
      <w:r>
        <w:rPr>
          <w:rFonts w:hint="eastAsia"/>
          <w:b/>
          <w:bCs/>
          <w:color w:val="0000FF"/>
          <w:highlight w:val="none"/>
          <w:lang w:val="en-US" w:eastAsia="zh-CN"/>
        </w:rPr>
        <w:t>报名资料</w:t>
      </w:r>
      <w:r>
        <w:rPr>
          <w:rFonts w:hint="eastAsia"/>
          <w:highlight w:val="none"/>
          <w:lang w:val="en-US" w:eastAsia="zh-CN"/>
        </w:rPr>
        <w:t>上传至中国石油昆仑物流有限公司智慧采购平台</w:t>
      </w:r>
      <w:r>
        <w:rPr>
          <w:rFonts w:hint="eastAsia"/>
          <w:b w:val="0"/>
          <w:bCs w:val="0"/>
          <w:highlight w:val="none"/>
          <w:lang w:val="en-US" w:eastAsia="zh-CN"/>
        </w:rPr>
        <w:t>。</w:t>
      </w:r>
      <w:r>
        <w:rPr>
          <w:rFonts w:hint="eastAsia"/>
          <w:b w:val="0"/>
          <w:bCs w:val="0"/>
          <w:sz w:val="18"/>
          <w:szCs w:val="18"/>
          <w:highlight w:val="none"/>
          <w:lang w:val="en-US" w:eastAsia="zh-CN"/>
        </w:rPr>
        <w:t>(不开发票，可不用上传开票函，发票开具时间为次月20日前，请在智慧采购平台和开票函上正确填写公司信息，发票开出后平台自动发送至邮箱，注意自行查收。因个人原因造成发票问题，应自负其责）</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3.采购文件获取：报名时间截止后服务商在智慧采购平台领取谈判文件。</w:t>
      </w:r>
    </w:p>
    <w:p>
      <w:pPr>
        <w:pStyle w:val="12"/>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ascii="宋体" w:hAnsi="宋体" w:eastAsia="宋体" w:cs="Times New Roman"/>
          <w:b w:val="0"/>
          <w:kern w:val="0"/>
          <w:sz w:val="21"/>
          <w:szCs w:val="21"/>
          <w:highlight w:val="none"/>
          <w:lang w:val="en-US" w:eastAsia="zh-CN" w:bidi="ar-SA"/>
        </w:rPr>
        <w:t>4.采购文件发售：每套售价为200元人民币，请有意参与该项目的潜在响应人确</w:t>
      </w:r>
      <w:r>
        <w:rPr>
          <w:rFonts w:hint="eastAsia"/>
          <w:highlight w:val="none"/>
          <w:lang w:val="en-US" w:eastAsia="zh-CN"/>
        </w:rPr>
        <w:t>认自身资格条件是否满足要求，售后不退，应自负其责。</w:t>
      </w:r>
    </w:p>
    <w:p>
      <w:pPr>
        <w:pStyle w:val="12"/>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highlight w:val="none"/>
          <w:lang w:val="en-US" w:eastAsia="zh-CN"/>
        </w:rPr>
        <w:t>汇款账户名称：中国石油昆仑物流有限公司物资分公司；</w:t>
      </w:r>
    </w:p>
    <w:p>
      <w:pPr>
        <w:pStyle w:val="12"/>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highlight w:val="none"/>
          <w:lang w:val="en-US" w:eastAsia="zh-CN"/>
        </w:rPr>
        <w:t>开户银行名称：中国工商银行股份有限公司乌鲁木齐经济技术开发区支行；</w:t>
      </w:r>
    </w:p>
    <w:p>
      <w:pPr>
        <w:pStyle w:val="12"/>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highlight w:val="none"/>
          <w:lang w:val="en-US" w:eastAsia="zh-CN"/>
        </w:rPr>
        <w:t>行号：102881001030；</w:t>
      </w:r>
    </w:p>
    <w:p>
      <w:pPr>
        <w:pStyle w:val="12"/>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highlight w:val="none"/>
          <w:lang w:val="en-US" w:eastAsia="zh-CN"/>
        </w:rPr>
      </w:pPr>
      <w:r>
        <w:rPr>
          <w:rFonts w:hint="eastAsia"/>
          <w:highlight w:val="none"/>
          <w:lang w:val="en-US" w:eastAsia="zh-CN"/>
        </w:rPr>
        <w:t>银行账号：3002019209200010066，</w:t>
      </w:r>
    </w:p>
    <w:p>
      <w:pPr>
        <w:pStyle w:val="12"/>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default" w:ascii="宋体" w:hAnsi="宋体" w:eastAsia="宋体"/>
          <w:b/>
          <w:bCs/>
          <w:color w:val="0000FF"/>
          <w:highlight w:val="none"/>
          <w:lang w:val="en-US" w:eastAsia="zh-CN"/>
        </w:rPr>
      </w:pPr>
      <w:r>
        <w:rPr>
          <w:rFonts w:hint="eastAsia"/>
          <w:highlight w:val="none"/>
          <w:lang w:val="en-US" w:eastAsia="zh-CN"/>
        </w:rPr>
        <w:t>注：</w:t>
      </w:r>
      <w:r>
        <w:rPr>
          <w:rFonts w:hint="eastAsia"/>
          <w:b/>
          <w:bCs/>
          <w:highlight w:val="none"/>
          <w:lang w:val="en-US" w:eastAsia="zh-CN"/>
        </w:rPr>
        <w:t>付款凭证</w:t>
      </w:r>
      <w:r>
        <w:rPr>
          <w:rFonts w:hint="eastAsia"/>
          <w:highlight w:val="none"/>
          <w:lang w:val="en-US" w:eastAsia="zh-CN"/>
        </w:rPr>
        <w:t>备注</w:t>
      </w:r>
      <w:r>
        <w:rPr>
          <w:rFonts w:hint="eastAsia"/>
          <w:b/>
          <w:bCs/>
          <w:highlight w:val="none"/>
          <w:lang w:val="en-US" w:eastAsia="zh-CN"/>
        </w:rPr>
        <w:t>：</w:t>
      </w:r>
      <w:r>
        <w:rPr>
          <w:rFonts w:hint="eastAsia" w:ascii="宋体" w:hAnsi="宋体" w:eastAsia="宋体"/>
          <w:b/>
          <w:bCs/>
          <w:color w:val="0000FF"/>
          <w:highlight w:val="none"/>
          <w:lang w:val="en-US" w:eastAsia="zh-CN"/>
        </w:rPr>
        <w:t>GYC-2025-</w:t>
      </w:r>
      <w:r>
        <w:rPr>
          <w:rFonts w:hint="eastAsia"/>
          <w:b/>
          <w:bCs/>
          <w:color w:val="0000FF"/>
          <w:highlight w:val="none"/>
          <w:lang w:val="en-US" w:eastAsia="zh-CN"/>
        </w:rPr>
        <w:t>502</w:t>
      </w:r>
      <w:r>
        <w:rPr>
          <w:rFonts w:hint="eastAsia" w:ascii="宋体" w:hAnsi="宋体" w:eastAsia="宋体"/>
          <w:b/>
          <w:bCs/>
          <w:color w:val="0000FF"/>
          <w:highlight w:val="none"/>
          <w:lang w:val="en-US" w:eastAsia="zh-CN"/>
        </w:rPr>
        <w:t>-FW资料费</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5.二次公告注意事项：项目未开始谈判，如发二次公告，一次公告已报名服务商需重新报名，无需重新缴费。项目谈判失败，如发二次公告，服务商重新报名的需重新缴纳资料费。</w:t>
      </w:r>
    </w:p>
    <w:p>
      <w:pPr>
        <w:pStyle w:val="12"/>
        <w:ind w:left="0" w:leftChars="0" w:firstLine="420" w:firstLineChars="200"/>
        <w:rPr>
          <w:rFonts w:hint="eastAsia" w:ascii="宋体" w:hAnsi="宋体" w:eastAsia="宋体" w:cs="宋体"/>
          <w:b w:val="0"/>
          <w:bCs w:val="0"/>
          <w:i w:val="0"/>
          <w:iCs w:val="0"/>
          <w:kern w:val="2"/>
          <w:sz w:val="21"/>
          <w:szCs w:val="21"/>
          <w:highlight w:val="none"/>
          <w:lang w:val="en-US" w:eastAsia="zh-CN" w:bidi="ar"/>
        </w:rPr>
      </w:pPr>
      <w:r>
        <w:rPr>
          <w:rFonts w:hint="eastAsia" w:ascii="宋体" w:hAnsi="宋体" w:eastAsia="宋体" w:cs="Times New Roman"/>
          <w:kern w:val="0"/>
          <w:sz w:val="21"/>
          <w:szCs w:val="21"/>
          <w:highlight w:val="none"/>
          <w:lang w:val="en-US" w:eastAsia="zh-CN" w:bidi="ar-SA"/>
        </w:rPr>
        <w:t>6.注意事项：请务必按以上要求完成报名，因服务商自身原因导致的不利后果由服务商自行承担。未按要</w:t>
      </w:r>
      <w:r>
        <w:rPr>
          <w:rFonts w:hint="eastAsia" w:ascii="宋体" w:hAnsi="宋体" w:eastAsia="宋体" w:cs="宋体"/>
          <w:b w:val="0"/>
          <w:bCs w:val="0"/>
          <w:i w:val="0"/>
          <w:iCs w:val="0"/>
          <w:kern w:val="2"/>
          <w:sz w:val="21"/>
          <w:szCs w:val="21"/>
          <w:highlight w:val="none"/>
          <w:lang w:val="en-US" w:eastAsia="zh-CN" w:bidi="ar"/>
        </w:rPr>
        <w:t>求提交报名资料的不予受理，未报名的、未从组织机构取得谈判文件的服务商不能参与项目。</w:t>
      </w:r>
    </w:p>
    <w:p>
      <w:pPr>
        <w:pStyle w:val="13"/>
        <w:rPr>
          <w:rFonts w:hint="eastAsia"/>
          <w:highlight w:val="none"/>
          <w:lang w:val="en-US" w:eastAsia="zh-CN"/>
        </w:rPr>
      </w:pPr>
    </w:p>
    <w:p>
      <w:pPr>
        <w:pageBreakBefore w:val="0"/>
        <w:widowControl/>
        <w:kinsoku/>
        <w:wordWrap/>
        <w:overflowPunct/>
        <w:topLinePunct w:val="0"/>
        <w:autoSpaceDE/>
        <w:autoSpaceDN/>
        <w:bidi w:val="0"/>
        <w:adjustRightInd/>
        <w:snapToGrid/>
        <w:spacing w:beforeLines="0" w:afterLines="0" w:line="38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七、非招标采购项目服务费收取</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1、收费范围</w:t>
      </w:r>
    </w:p>
    <w:p>
      <w:pPr>
        <w:ind w:firstLine="420" w:firstLineChars="200"/>
        <w:rPr>
          <w:sz w:val="21"/>
          <w:szCs w:val="21"/>
          <w:highlight w:val="none"/>
        </w:rPr>
      </w:pPr>
      <w:r>
        <w:rPr>
          <w:rFonts w:hint="eastAsia"/>
          <w:sz w:val="21"/>
          <w:szCs w:val="21"/>
          <w:highlight w:val="none"/>
        </w:rPr>
        <w:t>所有</w:t>
      </w:r>
      <w:r>
        <w:rPr>
          <w:sz w:val="21"/>
          <w:szCs w:val="21"/>
          <w:highlight w:val="none"/>
        </w:rPr>
        <w:t>竞价、谈判、询比、直接采购等非招标采购方式成交的项目，由成交供应商（承包商、服务商）按本通知规定缴纳服务费。</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 xml:space="preserve">2、收费标准 </w:t>
      </w:r>
    </w:p>
    <w:p>
      <w:pPr>
        <w:ind w:firstLine="420" w:firstLineChars="200"/>
        <w:rPr>
          <w:sz w:val="21"/>
          <w:szCs w:val="21"/>
          <w:highlight w:val="none"/>
        </w:rPr>
      </w:pPr>
      <w:r>
        <w:rPr>
          <w:sz w:val="21"/>
          <w:szCs w:val="21"/>
          <w:highlight w:val="none"/>
        </w:rPr>
        <w:t xml:space="preserve">代理服务费采用差额定率累进法计算。以各项目（标段）的成交金额为计算基数，根据成交金额所在区间对应的费率，分段计算后累加得出应收服务费。单笔代理服务费计算 结果不足500元的，按500元收取；单笔代理服务费收取上 限为50000元。 </w:t>
      </w:r>
    </w:p>
    <w:p>
      <w:pPr>
        <w:ind w:firstLine="420" w:firstLineChars="200"/>
        <w:rPr>
          <w:sz w:val="21"/>
          <w:szCs w:val="21"/>
          <w:highlight w:val="none"/>
        </w:rPr>
      </w:pPr>
      <w:r>
        <w:rPr>
          <w:sz w:val="21"/>
          <w:szCs w:val="21"/>
          <w:highlight w:val="none"/>
        </w:rPr>
        <w:t>成交金额（万元）</w:t>
      </w:r>
      <w:r>
        <w:rPr>
          <w:rFonts w:hint="eastAsia"/>
          <w:sz w:val="21"/>
          <w:szCs w:val="21"/>
          <w:highlight w:val="none"/>
        </w:rPr>
        <w:t xml:space="preserve">      </w:t>
      </w:r>
      <w:r>
        <w:rPr>
          <w:sz w:val="21"/>
          <w:szCs w:val="21"/>
          <w:highlight w:val="none"/>
        </w:rPr>
        <w:t>服务费收取比例</w:t>
      </w:r>
    </w:p>
    <w:p>
      <w:pPr>
        <w:ind w:firstLine="420" w:firstLineChars="200"/>
        <w:rPr>
          <w:sz w:val="21"/>
          <w:szCs w:val="21"/>
          <w:highlight w:val="none"/>
        </w:rPr>
      </w:pPr>
      <w:r>
        <w:rPr>
          <w:sz w:val="21"/>
          <w:szCs w:val="21"/>
          <w:highlight w:val="none"/>
        </w:rPr>
        <w:t>100及以下</w:t>
      </w:r>
      <w:r>
        <w:rPr>
          <w:rFonts w:hint="eastAsia"/>
          <w:sz w:val="21"/>
          <w:szCs w:val="21"/>
          <w:highlight w:val="none"/>
        </w:rPr>
        <w:t xml:space="preserve">                </w:t>
      </w:r>
      <w:r>
        <w:rPr>
          <w:sz w:val="21"/>
          <w:szCs w:val="21"/>
          <w:highlight w:val="none"/>
        </w:rPr>
        <w:t xml:space="preserve">0.8% </w:t>
      </w:r>
    </w:p>
    <w:p>
      <w:pPr>
        <w:ind w:firstLine="420" w:firstLineChars="200"/>
        <w:rPr>
          <w:sz w:val="21"/>
          <w:szCs w:val="21"/>
          <w:highlight w:val="none"/>
        </w:rPr>
      </w:pPr>
      <w:r>
        <w:rPr>
          <w:sz w:val="21"/>
          <w:szCs w:val="21"/>
          <w:highlight w:val="none"/>
        </w:rPr>
        <w:t>100-500（含）</w:t>
      </w:r>
      <w:r>
        <w:rPr>
          <w:rFonts w:hint="eastAsia"/>
          <w:sz w:val="21"/>
          <w:szCs w:val="21"/>
          <w:highlight w:val="none"/>
        </w:rPr>
        <w:t xml:space="preserve">             </w:t>
      </w:r>
      <w:r>
        <w:rPr>
          <w:sz w:val="21"/>
          <w:szCs w:val="21"/>
          <w:highlight w:val="none"/>
        </w:rPr>
        <w:t xml:space="preserve">0.7% </w:t>
      </w:r>
    </w:p>
    <w:p>
      <w:pPr>
        <w:ind w:firstLine="420" w:firstLineChars="200"/>
        <w:rPr>
          <w:sz w:val="21"/>
          <w:szCs w:val="21"/>
          <w:highlight w:val="none"/>
        </w:rPr>
      </w:pPr>
      <w:r>
        <w:rPr>
          <w:sz w:val="21"/>
          <w:szCs w:val="21"/>
          <w:highlight w:val="none"/>
        </w:rPr>
        <w:t>500以上</w:t>
      </w:r>
      <w:r>
        <w:rPr>
          <w:rFonts w:hint="eastAsia"/>
          <w:sz w:val="21"/>
          <w:szCs w:val="21"/>
          <w:highlight w:val="none"/>
        </w:rPr>
        <w:t xml:space="preserve">                  </w:t>
      </w:r>
      <w:r>
        <w:rPr>
          <w:sz w:val="21"/>
          <w:szCs w:val="21"/>
          <w:highlight w:val="none"/>
        </w:rPr>
        <w:t xml:space="preserve">0.45% </w:t>
      </w:r>
    </w:p>
    <w:p>
      <w:pPr>
        <w:ind w:firstLine="420" w:firstLineChars="200"/>
        <w:rPr>
          <w:sz w:val="21"/>
          <w:szCs w:val="21"/>
          <w:highlight w:val="none"/>
        </w:rPr>
      </w:pPr>
      <w:r>
        <w:rPr>
          <w:sz w:val="21"/>
          <w:szCs w:val="21"/>
          <w:highlight w:val="none"/>
        </w:rPr>
        <w:t xml:space="preserve">示例：某物资采购项目成交金额为90万元，代理服务费计算公式为： 90×0.8%=0.72万元 某物资采购项目中标金额为300万元，代理服务费计算公式为： 100×0.8%+（300-100）×0.7%=0.8+1.4=2.2万元 某物资采购项目中标金额为600万元，代理服务费计算公式为： 100×0.8%+（500-100）×0.7%+（600-500）×0.45%=0.8+2.8+0.45=4.05万元 </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 xml:space="preserve">3、缴费流程 </w:t>
      </w:r>
    </w:p>
    <w:p>
      <w:pPr>
        <w:ind w:firstLine="420" w:firstLineChars="200"/>
        <w:rPr>
          <w:sz w:val="21"/>
          <w:szCs w:val="21"/>
          <w:highlight w:val="none"/>
        </w:rPr>
      </w:pPr>
      <w:r>
        <w:rPr>
          <w:sz w:val="21"/>
          <w:szCs w:val="21"/>
          <w:highlight w:val="none"/>
        </w:rPr>
        <w:t>（一）通知缴费。采购项目完成采购程序后，在成交候选人公示结束后的3个工作日内，向成交供应商（承包商、服务商</w:t>
      </w:r>
      <w:r>
        <w:rPr>
          <w:rFonts w:hint="eastAsia"/>
          <w:sz w:val="21"/>
          <w:szCs w:val="21"/>
          <w:highlight w:val="none"/>
        </w:rPr>
        <w:t>）</w:t>
      </w:r>
      <w:r>
        <w:rPr>
          <w:sz w:val="21"/>
          <w:szCs w:val="21"/>
          <w:highlight w:val="none"/>
        </w:rPr>
        <w:t xml:space="preserve">发送《服务费缴纳通知单》。 </w:t>
      </w:r>
    </w:p>
    <w:p>
      <w:pPr>
        <w:ind w:firstLine="420" w:firstLineChars="200"/>
        <w:rPr>
          <w:sz w:val="21"/>
          <w:szCs w:val="21"/>
          <w:highlight w:val="none"/>
        </w:rPr>
      </w:pPr>
      <w:r>
        <w:rPr>
          <w:sz w:val="21"/>
          <w:szCs w:val="21"/>
          <w:highlight w:val="none"/>
        </w:rPr>
        <w:t xml:space="preserve">（二）费用缴纳。成交供应商（承包商、服务商）应在收到通知后3个工作日内通过银行对公转账支付方式缴纳服务费，不接受现金或其他方式。 </w:t>
      </w:r>
    </w:p>
    <w:p>
      <w:pPr>
        <w:ind w:firstLine="420" w:firstLineChars="200"/>
        <w:rPr>
          <w:sz w:val="21"/>
          <w:szCs w:val="21"/>
          <w:highlight w:val="none"/>
        </w:rPr>
      </w:pPr>
      <w:r>
        <w:rPr>
          <w:sz w:val="21"/>
          <w:szCs w:val="21"/>
          <w:highlight w:val="none"/>
        </w:rPr>
        <w:t xml:space="preserve">（三）发票开具。根据供应商（承包商、服务商）服务费缴纳金额开具增值税普通发票或专用发票，逾期未缴纳的，视为自动放弃成交资格。 </w:t>
      </w:r>
    </w:p>
    <w:p>
      <w:pPr>
        <w:ind w:firstLine="420" w:firstLineChars="200"/>
        <w:rPr>
          <w:sz w:val="21"/>
          <w:szCs w:val="21"/>
          <w:highlight w:val="none"/>
        </w:rPr>
      </w:pPr>
      <w:r>
        <w:rPr>
          <w:sz w:val="21"/>
          <w:szCs w:val="21"/>
          <w:highlight w:val="none"/>
        </w:rPr>
        <w:t xml:space="preserve">（四）确认成交。缴费完成后，向成交供应商（承包商、服务商）出具《成交通知书》，供应商（承包商、服务商）凭此与采购单位签订正式合同。 </w:t>
      </w:r>
    </w:p>
    <w:p>
      <w:pPr>
        <w:ind w:firstLine="420" w:firstLineChars="200"/>
        <w:rPr>
          <w:sz w:val="21"/>
          <w:szCs w:val="21"/>
          <w:highlight w:val="none"/>
        </w:rPr>
      </w:pPr>
      <w:r>
        <w:rPr>
          <w:sz w:val="21"/>
          <w:szCs w:val="21"/>
          <w:highlight w:val="none"/>
        </w:rPr>
        <w:t xml:space="preserve">（五）顺延规则。若成交供应商（承包商、服务商）放弃资格，可按评审排名顺延选择下一名候选供应商（承包商、服务商），并重新执行缴费流程。 </w:t>
      </w:r>
    </w:p>
    <w:p>
      <w:pPr>
        <w:ind w:firstLine="420" w:firstLineChars="200"/>
        <w:rPr>
          <w:sz w:val="21"/>
          <w:szCs w:val="21"/>
          <w:highlight w:val="none"/>
        </w:rPr>
      </w:pPr>
      <w:r>
        <w:rPr>
          <w:sz w:val="21"/>
          <w:szCs w:val="21"/>
          <w:highlight w:val="none"/>
        </w:rPr>
        <w:t>（六）其他。如供应商（承包商、服务商）对收费存在异议，可在收到缴费通知后2个工作日内向物资分公司书面申诉，由物资分公司复核并答复。若出现特殊情况需退费的，经公司相关业务部门及物资管理部门审核后，予以办理退费 手续</w:t>
      </w:r>
      <w:r>
        <w:rPr>
          <w:rFonts w:hint="eastAsia"/>
          <w:sz w:val="21"/>
          <w:szCs w:val="21"/>
          <w:highlight w:val="none"/>
        </w:rPr>
        <w:t>。</w:t>
      </w:r>
    </w:p>
    <w:p>
      <w:pPr>
        <w:ind w:firstLine="420" w:firstLineChars="200"/>
        <w:rPr>
          <w:sz w:val="21"/>
          <w:szCs w:val="21"/>
          <w:highlight w:val="none"/>
        </w:rPr>
      </w:pPr>
      <w:r>
        <w:rPr>
          <w:rFonts w:hint="eastAsia"/>
          <w:sz w:val="21"/>
          <w:szCs w:val="21"/>
          <w:highlight w:val="none"/>
        </w:rPr>
        <w:t>汇款账户名称：中国石油昆仑物流有限公司物资分公司；</w:t>
      </w:r>
    </w:p>
    <w:p>
      <w:pPr>
        <w:ind w:firstLine="420" w:firstLineChars="200"/>
        <w:rPr>
          <w:sz w:val="21"/>
          <w:szCs w:val="21"/>
          <w:highlight w:val="none"/>
        </w:rPr>
      </w:pPr>
      <w:r>
        <w:rPr>
          <w:rFonts w:hint="eastAsia"/>
          <w:sz w:val="21"/>
          <w:szCs w:val="21"/>
          <w:highlight w:val="none"/>
        </w:rPr>
        <w:t>开户银行名称：工行乌鲁木齐经济技术开发区支行；</w:t>
      </w:r>
    </w:p>
    <w:p>
      <w:pPr>
        <w:ind w:firstLine="420" w:firstLineChars="200"/>
        <w:rPr>
          <w:sz w:val="21"/>
          <w:szCs w:val="21"/>
          <w:highlight w:val="none"/>
        </w:rPr>
      </w:pPr>
      <w:r>
        <w:rPr>
          <w:rFonts w:hint="eastAsia"/>
          <w:sz w:val="21"/>
          <w:szCs w:val="21"/>
          <w:highlight w:val="none"/>
        </w:rPr>
        <w:t>行号：102881001030；</w:t>
      </w:r>
    </w:p>
    <w:p>
      <w:pPr>
        <w:ind w:firstLine="420" w:firstLineChars="200"/>
        <w:rPr>
          <w:sz w:val="21"/>
          <w:szCs w:val="21"/>
          <w:highlight w:val="none"/>
        </w:rPr>
      </w:pPr>
      <w:r>
        <w:rPr>
          <w:rFonts w:hint="eastAsia"/>
          <w:sz w:val="21"/>
          <w:szCs w:val="21"/>
          <w:highlight w:val="none"/>
        </w:rPr>
        <w:t>银行账号：3002019209200010066</w:t>
      </w:r>
    </w:p>
    <w:p>
      <w:pPr>
        <w:pStyle w:val="13"/>
        <w:ind w:left="0" w:leftChars="0" w:firstLine="0" w:firstLineChars="0"/>
        <w:rPr>
          <w:rFonts w:hint="default"/>
          <w:highlight w:val="none"/>
          <w:lang w:val="en-US" w:eastAsia="zh-CN"/>
        </w:rPr>
      </w:pPr>
    </w:p>
    <w:p>
      <w:pPr>
        <w:keepNext w:val="0"/>
        <w:keepLines w:val="0"/>
        <w:pageBreakBefore w:val="0"/>
        <w:widowControl w:val="0"/>
        <w:tabs>
          <w:tab w:val="left" w:pos="-105"/>
          <w:tab w:val="left" w:pos="420"/>
          <w:tab w:val="left" w:pos="630"/>
          <w:tab w:val="left" w:pos="1155"/>
          <w:tab w:val="left" w:pos="1890"/>
          <w:tab w:val="left" w:pos="3150"/>
          <w:tab w:val="left" w:pos="3780"/>
        </w:tabs>
        <w:kinsoku/>
        <w:wordWrap/>
        <w:overflowPunct/>
        <w:topLinePunct w:val="0"/>
        <w:autoSpaceDE/>
        <w:autoSpaceDN/>
        <w:bidi w:val="0"/>
        <w:adjustRightInd/>
        <w:snapToGrid/>
        <w:spacing w:line="380" w:lineRule="exact"/>
        <w:ind w:right="-23" w:rightChars="-11" w:firstLine="422" w:firstLineChars="200"/>
        <w:textAlignment w:val="auto"/>
        <w:outlineLvl w:val="1"/>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val="en-US" w:eastAsia="zh-CN"/>
        </w:rPr>
        <w:t>、响应文件的递交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contextualSpacing/>
        <w:jc w:val="both"/>
        <w:textAlignment w:val="auto"/>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响应文件递交截止时间</w:t>
      </w:r>
      <w:r>
        <w:rPr>
          <w:rFonts w:hint="eastAsia" w:ascii="宋体" w:hAnsi="宋体" w:cs="宋体"/>
          <w:kern w:val="2"/>
          <w:sz w:val="21"/>
          <w:szCs w:val="21"/>
          <w:highlight w:val="none"/>
          <w:lang w:val="en-US" w:eastAsia="zh-CN" w:bidi="ar"/>
        </w:rPr>
        <w:t>见采购文件。</w:t>
      </w:r>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firstLine="482" w:firstLineChars="200"/>
        <w:jc w:val="left"/>
        <w:textAlignment w:val="auto"/>
        <w:outlineLvl w:val="1"/>
        <w:rPr>
          <w:rFonts w:hint="eastAsia" w:ascii="宋体" w:hAnsi="宋体" w:eastAsia="宋体" w:cs="宋体"/>
          <w:b/>
          <w:color w:val="auto"/>
          <w:spacing w:val="0"/>
          <w:sz w:val="24"/>
          <w:szCs w:val="24"/>
          <w:highlight w:val="none"/>
        </w:rPr>
      </w:pPr>
      <w:bookmarkStart w:id="14" w:name="_Toc87518116"/>
      <w:bookmarkStart w:id="15" w:name="_Toc85792232"/>
      <w:bookmarkStart w:id="16" w:name="_Toc24285"/>
      <w:bookmarkStart w:id="17" w:name="_Toc85794128"/>
      <w:bookmarkStart w:id="18" w:name="_Toc85793325"/>
      <w:r>
        <w:rPr>
          <w:rFonts w:hint="eastAsia" w:ascii="宋体" w:hAnsi="宋体" w:cs="宋体"/>
          <w:b/>
          <w:color w:val="auto"/>
          <w:spacing w:val="0"/>
          <w:sz w:val="24"/>
          <w:szCs w:val="24"/>
          <w:highlight w:val="none"/>
          <w:lang w:val="en-US" w:eastAsia="zh-CN"/>
        </w:rPr>
        <w:t>八</w:t>
      </w:r>
      <w:r>
        <w:rPr>
          <w:rFonts w:hint="eastAsia" w:ascii="宋体" w:hAnsi="宋体" w:eastAsia="宋体" w:cs="宋体"/>
          <w:b/>
          <w:color w:val="auto"/>
          <w:spacing w:val="0"/>
          <w:sz w:val="24"/>
          <w:szCs w:val="24"/>
          <w:highlight w:val="none"/>
        </w:rPr>
        <w:t>、发布公告的媒体</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firstLine="480" w:firstLineChars="200"/>
        <w:jc w:val="left"/>
        <w:textAlignment w:val="auto"/>
        <w:outlineLvl w:val="1"/>
        <w:rPr>
          <w:rFonts w:hint="eastAsia" w:ascii="宋体" w:hAnsi="宋体" w:eastAsia="宋体" w:cs="宋体"/>
          <w:b w:val="0"/>
          <w:bCs/>
          <w:color w:val="auto"/>
          <w:spacing w:val="0"/>
          <w:sz w:val="24"/>
          <w:szCs w:val="24"/>
          <w:highlight w:val="none"/>
        </w:rPr>
      </w:pPr>
      <w:r>
        <w:rPr>
          <w:rFonts w:hint="eastAsia" w:ascii="宋体" w:hAnsi="宋体" w:eastAsia="宋体" w:cs="宋体"/>
          <w:b w:val="0"/>
          <w:bCs/>
          <w:color w:val="auto"/>
          <w:spacing w:val="0"/>
          <w:sz w:val="24"/>
          <w:szCs w:val="24"/>
          <w:highlight w:val="none"/>
        </w:rPr>
        <w:t>本次公告同时在中国石油招标投标网（http://www.cnpcbidding.com/） 上公布。</w:t>
      </w:r>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firstLine="482" w:firstLineChars="200"/>
        <w:jc w:val="left"/>
        <w:textAlignment w:val="auto"/>
        <w:outlineLvl w:val="1"/>
        <w:rPr>
          <w:rFonts w:hint="default" w:ascii="宋体" w:hAnsi="宋体" w:eastAsia="宋体" w:cs="宋体"/>
          <w:b/>
          <w:color w:val="auto"/>
          <w:spacing w:val="0"/>
          <w:sz w:val="24"/>
          <w:szCs w:val="24"/>
          <w:highlight w:val="none"/>
          <w:lang w:val="en-US"/>
        </w:rPr>
      </w:pPr>
      <w:r>
        <w:rPr>
          <w:rFonts w:hint="eastAsia" w:ascii="宋体" w:hAnsi="宋体" w:cs="宋体"/>
          <w:b/>
          <w:color w:val="auto"/>
          <w:spacing w:val="0"/>
          <w:sz w:val="24"/>
          <w:szCs w:val="24"/>
          <w:highlight w:val="none"/>
          <w:lang w:val="en-US" w:eastAsia="zh-CN"/>
        </w:rPr>
        <w:t>九、开标</w:t>
      </w:r>
      <w:r>
        <w:rPr>
          <w:rFonts w:hint="eastAsia" w:ascii="宋体" w:hAnsi="宋体" w:eastAsia="宋体" w:cs="宋体"/>
          <w:b/>
          <w:color w:val="auto"/>
          <w:spacing w:val="0"/>
          <w:sz w:val="24"/>
          <w:szCs w:val="24"/>
          <w:highlight w:val="none"/>
          <w:lang w:eastAsia="zh-CN"/>
        </w:rPr>
        <w:t>时间及</w:t>
      </w:r>
      <w:r>
        <w:rPr>
          <w:rFonts w:hint="eastAsia" w:ascii="宋体" w:hAnsi="宋体" w:cs="宋体"/>
          <w:b/>
          <w:color w:val="auto"/>
          <w:spacing w:val="0"/>
          <w:sz w:val="24"/>
          <w:szCs w:val="24"/>
          <w:highlight w:val="none"/>
          <w:lang w:val="en-US" w:eastAsia="zh-CN"/>
        </w:rPr>
        <w:t>地点</w:t>
      </w:r>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left="0" w:leftChars="0" w:right="0" w:rightChars="0" w:firstLine="420" w:firstLineChars="200"/>
        <w:jc w:val="left"/>
        <w:textAlignment w:val="auto"/>
        <w:outlineLvl w:val="1"/>
        <w:rPr>
          <w:rFonts w:hint="eastAsia" w:ascii="宋体" w:hAnsi="宋体" w:cs="宋体"/>
          <w:i w:val="0"/>
          <w:iCs w:val="0"/>
          <w:color w:val="auto"/>
          <w:spacing w:val="0"/>
          <w:szCs w:val="21"/>
          <w:highlight w:val="none"/>
          <w:lang w:val="en-US" w:eastAsia="zh-CN"/>
        </w:rPr>
      </w:pPr>
      <w:r>
        <w:rPr>
          <w:rFonts w:hint="eastAsia" w:ascii="宋体" w:hAnsi="宋体" w:cs="宋体"/>
          <w:i w:val="0"/>
          <w:iCs w:val="0"/>
          <w:color w:val="auto"/>
          <w:spacing w:val="0"/>
          <w:szCs w:val="21"/>
          <w:highlight w:val="none"/>
          <w:lang w:val="en-US" w:eastAsia="zh-CN"/>
        </w:rPr>
        <w:t>详见采购文件。</w:t>
      </w:r>
    </w:p>
    <w:p>
      <w:pPr>
        <w:keepNext w:val="0"/>
        <w:keepLines w:val="0"/>
        <w:pageBreakBefore w:val="0"/>
        <w:widowControl w:val="0"/>
        <w:kinsoku/>
        <w:wordWrap/>
        <w:overflowPunct/>
        <w:topLinePunct w:val="0"/>
        <w:autoSpaceDE/>
        <w:autoSpaceDN/>
        <w:bidi w:val="0"/>
        <w:adjustRightInd/>
        <w:snapToGrid/>
        <w:spacing w:before="160" w:beforeLines="50" w:after="160" w:afterLines="50" w:line="380" w:lineRule="exact"/>
        <w:ind w:left="0" w:leftChars="0" w:right="0" w:rightChars="0" w:firstLine="482" w:firstLineChars="200"/>
        <w:jc w:val="left"/>
        <w:textAlignment w:val="auto"/>
        <w:outlineLvl w:val="1"/>
        <w:rPr>
          <w:rFonts w:hint="eastAsia" w:ascii="宋体" w:hAnsi="宋体" w:eastAsia="宋体" w:cs="宋体"/>
          <w:color w:val="auto"/>
          <w:highlight w:val="none"/>
          <w:lang w:eastAsia="zh-CN"/>
        </w:rPr>
      </w:pPr>
      <w:r>
        <w:rPr>
          <w:rFonts w:hint="eastAsia" w:ascii="宋体" w:hAnsi="宋体" w:cs="宋体"/>
          <w:b/>
          <w:color w:val="auto"/>
          <w:spacing w:val="0"/>
          <w:sz w:val="24"/>
          <w:szCs w:val="24"/>
          <w:highlight w:val="none"/>
          <w:lang w:val="en-US" w:eastAsia="zh-CN"/>
        </w:rPr>
        <w:t>十、</w:t>
      </w:r>
      <w:r>
        <w:rPr>
          <w:rFonts w:hint="eastAsia" w:ascii="宋体" w:hAnsi="宋体" w:eastAsia="宋体" w:cs="宋体"/>
          <w:b/>
          <w:color w:val="auto"/>
          <w:spacing w:val="0"/>
          <w:sz w:val="24"/>
          <w:szCs w:val="24"/>
          <w:highlight w:val="none"/>
          <w:lang w:val="en-US" w:eastAsia="zh-CN"/>
        </w:rPr>
        <w:t>联系方式</w:t>
      </w:r>
    </w:p>
    <w:p>
      <w:pPr>
        <w:pStyle w:val="24"/>
        <w:keepNext w:val="0"/>
        <w:keepLines w:val="0"/>
        <w:pageBreakBefore w:val="0"/>
        <w:widowControl/>
        <w:kinsoku/>
        <w:wordWrap/>
        <w:overflowPunct/>
        <w:topLinePunct w:val="0"/>
        <w:autoSpaceDE/>
        <w:autoSpaceDN/>
        <w:bidi w:val="0"/>
        <w:adjustRightInd/>
        <w:snapToGrid/>
        <w:spacing w:line="440" w:lineRule="exact"/>
        <w:ind w:firstLine="422" w:firstLineChars="200"/>
        <w:contextualSpacing/>
        <w:textAlignment w:val="auto"/>
        <w:rPr>
          <w:rFonts w:hint="eastAsia" w:ascii="宋体" w:hAnsi="宋体" w:eastAsia="宋体" w:cs="宋体"/>
          <w:i w:val="0"/>
          <w:iCs w:val="0"/>
          <w:color w:val="000000"/>
          <w:kern w:val="2"/>
          <w:sz w:val="21"/>
          <w:szCs w:val="21"/>
          <w:highlight w:val="none"/>
          <w:u w:val="single"/>
          <w:lang w:val="en-US" w:eastAsia="zh-CN"/>
        </w:rPr>
      </w:pPr>
      <w:r>
        <w:rPr>
          <w:rFonts w:hint="eastAsia" w:ascii="宋体" w:hAnsi="宋体" w:eastAsia="宋体" w:cs="宋体"/>
          <w:b/>
          <w:bCs/>
          <w:i w:val="0"/>
          <w:iCs w:val="0"/>
          <w:color w:val="auto"/>
          <w:spacing w:val="0"/>
          <w:kern w:val="2"/>
          <w:sz w:val="21"/>
          <w:szCs w:val="21"/>
          <w:highlight w:val="none"/>
          <w:u w:val="none"/>
          <w:lang w:val="en-US" w:eastAsia="zh-CN" w:bidi="ar-SA"/>
        </w:rPr>
        <w:t>采购人</w:t>
      </w:r>
      <w:r>
        <w:rPr>
          <w:rFonts w:hint="eastAsia" w:ascii="宋体" w:hAnsi="宋体" w:eastAsia="宋体" w:cs="宋体"/>
          <w:b/>
          <w:bCs/>
          <w:i w:val="0"/>
          <w:iCs w:val="0"/>
          <w:color w:val="auto"/>
          <w:spacing w:val="0"/>
          <w:szCs w:val="21"/>
          <w:highlight w:val="none"/>
          <w:u w:val="none"/>
        </w:rPr>
        <w:t>：</w:t>
      </w:r>
      <w:r>
        <w:rPr>
          <w:rFonts w:hint="eastAsia" w:ascii="宋体" w:hAnsi="宋体" w:eastAsia="宋体" w:cs="宋体"/>
          <w:b w:val="0"/>
          <w:bCs/>
          <w:i w:val="0"/>
          <w:iCs w:val="0"/>
          <w:color w:val="auto"/>
          <w:kern w:val="0"/>
          <w:sz w:val="21"/>
          <w:szCs w:val="21"/>
          <w:highlight w:val="none"/>
          <w:u w:val="single"/>
          <w:lang w:val="en-US" w:eastAsia="zh-CN" w:bidi="ar-SA"/>
        </w:rPr>
        <w:t>中国石油昆仑物流有限公司山东分公司</w:t>
      </w:r>
    </w:p>
    <w:p>
      <w:pPr>
        <w:widowControl/>
        <w:spacing w:line="400" w:lineRule="exact"/>
        <w:ind w:firstLine="422" w:firstLineChars="200"/>
        <w:jc w:val="left"/>
        <w:rPr>
          <w:rFonts w:hint="eastAsia" w:ascii="宋体" w:hAnsi="宋体"/>
          <w:i w:val="0"/>
          <w:iCs w:val="0"/>
          <w:color w:val="auto"/>
          <w:kern w:val="2"/>
          <w:sz w:val="21"/>
          <w:szCs w:val="21"/>
          <w:highlight w:val="none"/>
          <w:u w:val="none"/>
        </w:rPr>
      </w:pPr>
      <w:r>
        <w:rPr>
          <w:rFonts w:hint="eastAsia" w:ascii="宋体" w:hAnsi="宋体" w:eastAsia="宋体" w:cs="宋体"/>
          <w:b/>
          <w:bCs/>
          <w:i w:val="0"/>
          <w:iCs w:val="0"/>
          <w:color w:val="auto"/>
          <w:spacing w:val="0"/>
          <w:kern w:val="2"/>
          <w:sz w:val="21"/>
          <w:szCs w:val="21"/>
          <w:highlight w:val="none"/>
          <w:u w:val="none"/>
          <w:lang w:val="en-US" w:eastAsia="zh-CN" w:bidi="ar-SA"/>
        </w:rPr>
        <w:t>联系人：</w:t>
      </w:r>
      <w:r>
        <w:rPr>
          <w:rFonts w:hint="eastAsia" w:ascii="方正仿宋简体" w:hAnsi="宋体" w:eastAsia="方正仿宋简体" w:cs="宋体"/>
          <w:b/>
          <w:kern w:val="0"/>
          <w:sz w:val="28"/>
          <w:szCs w:val="28"/>
          <w:highlight w:val="none"/>
          <w:u w:val="single"/>
        </w:rPr>
        <w:t xml:space="preserve"> </w:t>
      </w:r>
      <w:r>
        <w:rPr>
          <w:rFonts w:hint="eastAsia" w:ascii="宋体" w:hAnsi="宋体" w:cs="宋体"/>
          <w:kern w:val="0"/>
          <w:szCs w:val="21"/>
          <w:u w:val="single"/>
        </w:rPr>
        <w:t>王丽娜</w:t>
      </w:r>
      <w:r>
        <w:rPr>
          <w:rFonts w:hint="eastAsia" w:ascii="方正仿宋简体" w:hAnsi="宋体" w:eastAsia="方正仿宋简体" w:cs="宋体"/>
          <w:b/>
          <w:kern w:val="0"/>
          <w:sz w:val="28"/>
          <w:szCs w:val="28"/>
          <w:highlight w:val="none"/>
          <w:u w:val="single"/>
        </w:rPr>
        <w:t xml:space="preserve">     </w:t>
      </w:r>
      <w:r>
        <w:rPr>
          <w:rFonts w:hint="eastAsia" w:ascii="方正仿宋简体" w:hAnsi="宋体" w:eastAsia="方正仿宋简体" w:cs="宋体"/>
          <w:b/>
          <w:kern w:val="0"/>
          <w:sz w:val="28"/>
          <w:szCs w:val="28"/>
          <w:highlight w:val="none"/>
        </w:rPr>
        <w:t>；</w:t>
      </w:r>
      <w:r>
        <w:rPr>
          <w:rFonts w:hint="eastAsia" w:ascii="宋体" w:hAnsi="宋体" w:cs="宋体"/>
          <w:kern w:val="0"/>
          <w:szCs w:val="21"/>
          <w:highlight w:val="none"/>
        </w:rPr>
        <w:t>联系方式</w:t>
      </w:r>
      <w:r>
        <w:rPr>
          <w:rFonts w:hint="eastAsia" w:ascii="方正仿宋简体" w:hAnsi="宋体" w:eastAsia="方正仿宋简体" w:cs="宋体"/>
          <w:kern w:val="0"/>
          <w:sz w:val="28"/>
          <w:szCs w:val="28"/>
          <w:highlight w:val="none"/>
        </w:rPr>
        <w:t>：</w:t>
      </w:r>
      <w:r>
        <w:rPr>
          <w:rFonts w:hint="eastAsia" w:ascii="方正仿宋简体" w:hAnsi="宋体" w:eastAsia="方正仿宋简体" w:cs="宋体"/>
          <w:kern w:val="0"/>
          <w:sz w:val="28"/>
          <w:szCs w:val="28"/>
          <w:highlight w:val="none"/>
          <w:u w:val="single"/>
        </w:rPr>
        <w:t>　</w:t>
      </w:r>
      <w:r>
        <w:rPr>
          <w:rFonts w:hint="eastAsia" w:ascii="宋体" w:hAnsi="宋体" w:cs="宋体"/>
          <w:kern w:val="0"/>
          <w:szCs w:val="21"/>
          <w:u w:val="single"/>
        </w:rPr>
        <w:t>18653139291</w:t>
      </w:r>
      <w:r>
        <w:rPr>
          <w:rFonts w:hint="eastAsia" w:ascii="方正仿宋简体" w:hAnsi="宋体" w:eastAsia="方正仿宋简体" w:cs="宋体"/>
          <w:kern w:val="0"/>
          <w:sz w:val="28"/>
          <w:szCs w:val="28"/>
          <w:highlight w:val="none"/>
          <w:u w:val="single"/>
        </w:rPr>
        <w:t>　</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default" w:ascii="宋体" w:hAnsi="宋体" w:eastAsia="宋体" w:cs="宋体"/>
          <w:b/>
          <w:bCs/>
          <w:i w:val="0"/>
          <w:iCs w:val="0"/>
          <w:color w:val="auto"/>
          <w:spacing w:val="0"/>
          <w:szCs w:val="21"/>
          <w:highlight w:val="none"/>
          <w:lang w:val="en-US" w:eastAsia="zh-CN"/>
        </w:rPr>
      </w:pPr>
      <w:r>
        <w:rPr>
          <w:rFonts w:hint="eastAsia" w:ascii="宋体" w:hAnsi="宋体" w:cs="宋体"/>
          <w:b/>
          <w:bCs/>
          <w:i w:val="0"/>
          <w:iCs w:val="0"/>
          <w:color w:val="auto"/>
          <w:spacing w:val="0"/>
          <w:szCs w:val="21"/>
          <w:highlight w:val="none"/>
          <w:lang w:val="en-US" w:eastAsia="zh-CN"/>
        </w:rPr>
        <w:t>组织</w:t>
      </w:r>
      <w:r>
        <w:rPr>
          <w:rFonts w:hint="eastAsia" w:ascii="宋体" w:hAnsi="宋体" w:eastAsia="宋体" w:cs="宋体"/>
          <w:b/>
          <w:bCs/>
          <w:i w:val="0"/>
          <w:iCs w:val="0"/>
          <w:color w:val="auto"/>
          <w:spacing w:val="0"/>
          <w:szCs w:val="21"/>
          <w:highlight w:val="none"/>
          <w:lang w:eastAsia="zh-CN"/>
        </w:rPr>
        <w:t>机构</w:t>
      </w:r>
      <w:r>
        <w:rPr>
          <w:rFonts w:hint="eastAsia" w:ascii="宋体" w:hAnsi="宋体" w:eastAsia="宋体" w:cs="宋体"/>
          <w:b/>
          <w:bCs/>
          <w:i w:val="0"/>
          <w:iCs w:val="0"/>
          <w:color w:val="auto"/>
          <w:spacing w:val="0"/>
          <w:szCs w:val="21"/>
          <w:highlight w:val="none"/>
        </w:rPr>
        <w:t>：</w:t>
      </w:r>
      <w:r>
        <w:rPr>
          <w:rFonts w:hint="eastAsia" w:ascii="宋体" w:hAnsi="宋体" w:cs="宋体"/>
          <w:b/>
          <w:bCs/>
          <w:i w:val="0"/>
          <w:iCs w:val="0"/>
          <w:color w:val="auto"/>
          <w:spacing w:val="0"/>
          <w:szCs w:val="21"/>
          <w:highlight w:val="none"/>
          <w:lang w:val="en-US" w:eastAsia="zh-CN"/>
        </w:rPr>
        <w:t>中国石油昆仑物流有限公司物资分公司采购谈判部</w:t>
      </w:r>
    </w:p>
    <w:p>
      <w:pPr>
        <w:spacing w:line="400" w:lineRule="exact"/>
        <w:ind w:firstLine="420" w:firstLineChars="200"/>
        <w:rPr>
          <w:rFonts w:ascii="宋体" w:hAnsi="宋体" w:cs="宋体"/>
          <w:kern w:val="0"/>
          <w:szCs w:val="21"/>
          <w:highlight w:val="none"/>
        </w:rPr>
      </w:pPr>
      <w:r>
        <w:rPr>
          <w:rFonts w:hint="eastAsia" w:ascii="宋体" w:hAnsi="宋体" w:eastAsia="宋体" w:cs="宋体"/>
          <w:i w:val="0"/>
          <w:iCs w:val="0"/>
          <w:color w:val="auto"/>
          <w:spacing w:val="0"/>
          <w:szCs w:val="21"/>
          <w:highlight w:val="none"/>
        </w:rPr>
        <w:t>地  址：</w:t>
      </w:r>
      <w:r>
        <w:rPr>
          <w:rFonts w:hint="eastAsia" w:ascii="宋体" w:hAnsi="宋体" w:cs="宋体"/>
          <w:kern w:val="0"/>
          <w:szCs w:val="21"/>
          <w:highlight w:val="none"/>
        </w:rPr>
        <w:t>新疆乌鲁木齐市新市区西环北路2219号中国石油昆仑物流有限公司物资分公司</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i w:val="0"/>
          <w:iCs w:val="0"/>
          <w:color w:val="auto"/>
          <w:spacing w:val="0"/>
          <w:szCs w:val="21"/>
          <w:highlight w:val="none"/>
          <w:u w:val="single"/>
          <w:lang w:val="en-US" w:eastAsia="zh-CN"/>
        </w:rPr>
      </w:pPr>
      <w:r>
        <w:rPr>
          <w:rFonts w:hint="eastAsia" w:ascii="宋体" w:hAnsi="宋体" w:eastAsia="宋体" w:cs="宋体"/>
          <w:i w:val="0"/>
          <w:iCs w:val="0"/>
          <w:color w:val="auto"/>
          <w:spacing w:val="0"/>
          <w:szCs w:val="21"/>
          <w:highlight w:val="none"/>
        </w:rPr>
        <w:t>联系人：</w:t>
      </w:r>
      <w:r>
        <w:rPr>
          <w:rFonts w:hint="eastAsia" w:ascii="宋体" w:hAnsi="宋体" w:cs="宋体"/>
          <w:i w:val="0"/>
          <w:iCs w:val="0"/>
          <w:color w:val="auto"/>
          <w:spacing w:val="0"/>
          <w:szCs w:val="21"/>
          <w:highlight w:val="none"/>
          <w:u w:val="single"/>
          <w:lang w:val="en-US" w:eastAsia="zh-CN"/>
        </w:rPr>
        <w:t>马媛媛</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rPr>
          <w:rFonts w:hint="eastAsia" w:ascii="宋体" w:hAnsi="宋体" w:cs="宋体"/>
          <w:color w:val="auto"/>
          <w:szCs w:val="21"/>
          <w:highlight w:val="none"/>
        </w:rPr>
      </w:pPr>
      <w:r>
        <w:rPr>
          <w:rFonts w:hint="eastAsia" w:ascii="宋体" w:hAnsi="宋体" w:eastAsia="宋体" w:cs="宋体"/>
          <w:i w:val="0"/>
          <w:iCs w:val="0"/>
          <w:color w:val="auto"/>
          <w:spacing w:val="0"/>
          <w:szCs w:val="21"/>
          <w:highlight w:val="none"/>
        </w:rPr>
        <w:t>联系电话：</w:t>
      </w:r>
      <w:r>
        <w:rPr>
          <w:rFonts w:hint="eastAsia" w:ascii="宋体" w:hAnsi="宋体" w:cs="宋体"/>
          <w:i w:val="0"/>
          <w:iCs w:val="0"/>
          <w:color w:val="auto"/>
          <w:spacing w:val="0"/>
          <w:szCs w:val="21"/>
          <w:highlight w:val="none"/>
          <w:u w:val="single"/>
          <w:lang w:val="en-US" w:eastAsia="zh-CN"/>
        </w:rPr>
        <w:t xml:space="preserve">13999125560   </w:t>
      </w:r>
      <w:r>
        <w:rPr>
          <w:rFonts w:hint="eastAsia" w:ascii="宋体" w:hAnsi="宋体" w:eastAsia="宋体" w:cs="宋体"/>
          <w:i w:val="0"/>
          <w:iCs w:val="0"/>
          <w:color w:val="auto"/>
          <w:spacing w:val="0"/>
          <w:szCs w:val="21"/>
          <w:highlight w:val="none"/>
        </w:rPr>
        <w:t xml:space="preserve">邮 </w:t>
      </w:r>
      <w:r>
        <w:rPr>
          <w:rFonts w:hint="eastAsia" w:ascii="宋体" w:hAnsi="宋体" w:eastAsia="宋体" w:cs="宋体"/>
          <w:i w:val="0"/>
          <w:iCs w:val="0"/>
          <w:color w:val="auto"/>
          <w:spacing w:val="0"/>
          <w:szCs w:val="21"/>
          <w:highlight w:val="none"/>
          <w:lang w:val="en-US" w:eastAsia="zh-CN"/>
        </w:rPr>
        <w:t xml:space="preserve"> </w:t>
      </w:r>
      <w:r>
        <w:rPr>
          <w:rFonts w:hint="eastAsia" w:ascii="宋体" w:hAnsi="宋体" w:eastAsia="宋体" w:cs="宋体"/>
          <w:i w:val="0"/>
          <w:iCs w:val="0"/>
          <w:color w:val="auto"/>
          <w:spacing w:val="0"/>
          <w:szCs w:val="21"/>
          <w:highlight w:val="none"/>
        </w:rPr>
        <w:t>箱：</w:t>
      </w:r>
      <w:r>
        <w:rPr>
          <w:rFonts w:hint="eastAsia" w:ascii="宋体" w:hAnsi="宋体" w:cs="宋体"/>
          <w:i w:val="0"/>
          <w:iCs w:val="0"/>
          <w:color w:val="auto"/>
          <w:spacing w:val="0"/>
          <w:szCs w:val="21"/>
          <w:highlight w:val="none"/>
          <w:lang w:val="en-US" w:eastAsia="zh-CN"/>
        </w:rPr>
        <w:t xml:space="preserve">mayy001@cnpc.com.cn  </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tabs>
          <w:tab w:val="left" w:pos="500"/>
        </w:tabs>
        <w:snapToGrid w:val="0"/>
        <w:spacing w:line="360" w:lineRule="auto"/>
        <w:jc w:val="left"/>
        <w:rPr>
          <w:rFonts w:hint="eastAsia" w:ascii="宋体" w:hAnsi="宋体" w:cs="宋体"/>
          <w:color w:val="auto"/>
          <w:szCs w:val="21"/>
          <w:highlight w:val="none"/>
        </w:rPr>
        <w:sectPr>
          <w:footerReference r:id="rId3" w:type="default"/>
          <w:pgSz w:w="11906" w:h="16838"/>
          <w:pgMar w:top="1701" w:right="1587" w:bottom="1474" w:left="1587" w:header="851" w:footer="992" w:gutter="0"/>
          <w:pgNumType w:fmt="decimal"/>
          <w:cols w:space="0" w:num="1"/>
          <w:rtlGutter w:val="0"/>
          <w:docGrid w:type="lines" w:linePitch="318" w:charSpace="0"/>
        </w:sectPr>
      </w:pPr>
    </w:p>
    <w:p>
      <w:pPr>
        <w:tabs>
          <w:tab w:val="left" w:pos="500"/>
        </w:tabs>
        <w:snapToGrid w:val="0"/>
        <w:spacing w:line="360" w:lineRule="auto"/>
        <w:jc w:val="left"/>
        <w:rPr>
          <w:rFonts w:hint="eastAsia" w:ascii="宋体" w:hAnsi="宋体" w:cs="宋体"/>
          <w:b/>
          <w:bCs/>
          <w:color w:val="auto"/>
          <w:sz w:val="48"/>
          <w:szCs w:val="48"/>
          <w:highlight w:val="none"/>
        </w:rPr>
      </w:pPr>
      <w:r>
        <w:rPr>
          <w:rFonts w:hint="eastAsia" w:ascii="宋体" w:hAnsi="宋体" w:cs="宋体"/>
          <w:color w:val="auto"/>
          <w:szCs w:val="21"/>
          <w:highlight w:val="none"/>
        </w:rPr>
        <w:t>附件：《报名登记表》</w:t>
      </w:r>
    </w:p>
    <w:p>
      <w:pPr>
        <w:tabs>
          <w:tab w:val="left" w:pos="500"/>
        </w:tabs>
        <w:snapToGrid w:val="0"/>
        <w:spacing w:line="360" w:lineRule="auto"/>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报名登记表</w:t>
      </w:r>
    </w:p>
    <w:p>
      <w:pPr>
        <w:tabs>
          <w:tab w:val="left" w:pos="500"/>
        </w:tabs>
        <w:snapToGrid w:val="0"/>
        <w:spacing w:line="360" w:lineRule="auto"/>
        <w:rPr>
          <w:rFonts w:ascii="宋体" w:hAnsi="宋体"/>
          <w:color w:val="auto"/>
          <w:sz w:val="24"/>
          <w:highlight w:val="none"/>
        </w:rPr>
      </w:pPr>
      <w:r>
        <w:rPr>
          <w:rFonts w:hint="eastAsia" w:ascii="宋体" w:hAnsi="宋体"/>
          <w:color w:val="auto"/>
          <w:sz w:val="24"/>
          <w:highlight w:val="none"/>
        </w:rPr>
        <w:t>项目名称：</w:t>
      </w:r>
    </w:p>
    <w:p>
      <w:pPr>
        <w:rPr>
          <w:rFonts w:ascii="宋体" w:hAnsi="宋体"/>
          <w:color w:val="auto"/>
          <w:sz w:val="24"/>
          <w:highlight w:val="none"/>
        </w:rPr>
      </w:pPr>
      <w:r>
        <w:rPr>
          <w:rFonts w:hint="eastAsia" w:ascii="宋体" w:hAnsi="宋体"/>
          <w:color w:val="auto"/>
          <w:sz w:val="24"/>
          <w:highlight w:val="none"/>
        </w:rPr>
        <w:t>项目编号：</w:t>
      </w:r>
    </w:p>
    <w:tbl>
      <w:tblPr>
        <w:tblStyle w:val="20"/>
        <w:tblW w:w="8736" w:type="dxa"/>
        <w:tblInd w:w="0" w:type="dxa"/>
        <w:tblLayout w:type="fixed"/>
        <w:tblCellMar>
          <w:top w:w="0" w:type="dxa"/>
          <w:left w:w="108" w:type="dxa"/>
          <w:bottom w:w="0" w:type="dxa"/>
          <w:right w:w="108" w:type="dxa"/>
        </w:tblCellMar>
      </w:tblPr>
      <w:tblGrid>
        <w:gridCol w:w="1060"/>
        <w:gridCol w:w="1104"/>
        <w:gridCol w:w="1698"/>
        <w:gridCol w:w="4874"/>
      </w:tblGrid>
      <w:tr>
        <w:tblPrEx>
          <w:tblCellMar>
            <w:top w:w="0" w:type="dxa"/>
            <w:left w:w="108" w:type="dxa"/>
            <w:bottom w:w="0" w:type="dxa"/>
            <w:right w:w="108" w:type="dxa"/>
          </w:tblCellMar>
        </w:tblPrEx>
        <w:trPr>
          <w:trHeight w:val="1021" w:hRule="atLeast"/>
        </w:trPr>
        <w:tc>
          <w:tcPr>
            <w:tcW w:w="1060" w:type="dxa"/>
            <w:tcBorders>
              <w:top w:val="single" w:color="auto" w:sz="8" w:space="0"/>
              <w:left w:val="single" w:color="auto" w:sz="8"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序号</w:t>
            </w:r>
          </w:p>
        </w:tc>
        <w:tc>
          <w:tcPr>
            <w:tcW w:w="2802" w:type="dxa"/>
            <w:gridSpan w:val="2"/>
            <w:tcBorders>
              <w:top w:val="single" w:color="auto" w:sz="8" w:space="0"/>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项目</w:t>
            </w:r>
          </w:p>
        </w:tc>
        <w:tc>
          <w:tcPr>
            <w:tcW w:w="4874" w:type="dxa"/>
            <w:tcBorders>
              <w:top w:val="single" w:color="auto" w:sz="8" w:space="0"/>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内容</w:t>
            </w:r>
          </w:p>
        </w:tc>
      </w:tr>
      <w:tr>
        <w:tblPrEx>
          <w:tblCellMar>
            <w:top w:w="0" w:type="dxa"/>
            <w:left w:w="108" w:type="dxa"/>
            <w:bottom w:w="0" w:type="dxa"/>
            <w:right w:w="108" w:type="dxa"/>
          </w:tblCellMar>
        </w:tblPrEx>
        <w:trPr>
          <w:trHeight w:val="1360" w:hRule="atLeast"/>
        </w:trPr>
        <w:tc>
          <w:tcPr>
            <w:tcW w:w="1060" w:type="dxa"/>
            <w:tcBorders>
              <w:top w:val="nil"/>
              <w:left w:val="single" w:color="auto" w:sz="8"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ascii="宋体" w:hAnsi="宋体"/>
                <w:color w:val="auto"/>
                <w:szCs w:val="32"/>
                <w:highlight w:val="none"/>
              </w:rPr>
              <w:t>1</w:t>
            </w:r>
          </w:p>
        </w:tc>
        <w:tc>
          <w:tcPr>
            <w:tcW w:w="2802"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bCs/>
                <w:color w:val="auto"/>
                <w:szCs w:val="32"/>
                <w:highlight w:val="none"/>
              </w:rPr>
            </w:pPr>
            <w:r>
              <w:rPr>
                <w:rFonts w:hint="eastAsia" w:ascii="宋体" w:hAnsi="宋体"/>
                <w:bCs/>
                <w:color w:val="auto"/>
                <w:szCs w:val="32"/>
                <w:highlight w:val="none"/>
              </w:rPr>
              <w:t>报名</w:t>
            </w:r>
            <w:r>
              <w:rPr>
                <w:rFonts w:hint="eastAsia" w:ascii="宋体" w:hAnsi="宋体"/>
                <w:bCs/>
                <w:color w:val="auto"/>
                <w:szCs w:val="32"/>
                <w:highlight w:val="none"/>
                <w:lang w:val="en-US" w:eastAsia="zh-CN"/>
              </w:rPr>
              <w:t>供应商</w:t>
            </w:r>
            <w:r>
              <w:rPr>
                <w:rFonts w:hint="eastAsia" w:ascii="宋体" w:hAnsi="宋体"/>
                <w:bCs/>
                <w:color w:val="auto"/>
                <w:szCs w:val="32"/>
                <w:highlight w:val="none"/>
              </w:rPr>
              <w:t>名称</w:t>
            </w:r>
          </w:p>
          <w:p>
            <w:pPr>
              <w:spacing w:line="320" w:lineRule="exact"/>
              <w:jc w:val="center"/>
              <w:rPr>
                <w:rFonts w:ascii="宋体" w:hAnsi="宋体"/>
                <w:bCs/>
                <w:color w:val="auto"/>
                <w:szCs w:val="32"/>
                <w:highlight w:val="none"/>
              </w:rPr>
            </w:pPr>
            <w:r>
              <w:rPr>
                <w:rFonts w:hint="eastAsia" w:ascii="宋体" w:hAnsi="宋体"/>
                <w:bCs/>
                <w:color w:val="auto"/>
                <w:szCs w:val="32"/>
                <w:highlight w:val="none"/>
              </w:rPr>
              <w:t>（公司名称）</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hint="eastAsia" w:ascii="宋体" w:hAnsi="宋体"/>
                <w:color w:val="auto"/>
                <w:szCs w:val="32"/>
                <w:highlight w:val="none"/>
              </w:rPr>
            </w:pPr>
            <w:r>
              <w:rPr>
                <w:rFonts w:hint="eastAsia" w:ascii="宋体" w:hAnsi="宋体"/>
                <w:color w:val="auto"/>
                <w:szCs w:val="32"/>
                <w:highlight w:val="none"/>
                <w:u w:val="single"/>
                <w:lang w:val="en-US" w:eastAsia="zh-CN"/>
              </w:rPr>
              <w:t xml:space="preserve">                 </w:t>
            </w:r>
            <w:r>
              <w:rPr>
                <w:rFonts w:hint="eastAsia" w:ascii="宋体" w:hAnsi="宋体"/>
                <w:color w:val="auto"/>
                <w:szCs w:val="32"/>
                <w:highlight w:val="none"/>
                <w:lang w:val="en-US" w:eastAsia="zh-CN"/>
              </w:rPr>
              <w:t xml:space="preserve"> </w:t>
            </w:r>
            <w:r>
              <w:rPr>
                <w:rFonts w:hint="eastAsia" w:ascii="宋体" w:hAnsi="宋体"/>
                <w:color w:val="auto"/>
                <w:szCs w:val="32"/>
                <w:highlight w:val="none"/>
              </w:rPr>
              <w:t>（加盖单位公章）</w:t>
            </w:r>
          </w:p>
        </w:tc>
      </w:tr>
      <w:tr>
        <w:tblPrEx>
          <w:tblCellMar>
            <w:top w:w="0" w:type="dxa"/>
            <w:left w:w="108" w:type="dxa"/>
            <w:bottom w:w="0" w:type="dxa"/>
            <w:right w:w="108" w:type="dxa"/>
          </w:tblCellMar>
        </w:tblPrEx>
        <w:trPr>
          <w:trHeight w:val="703" w:hRule="exact"/>
        </w:trPr>
        <w:tc>
          <w:tcPr>
            <w:tcW w:w="1060" w:type="dxa"/>
            <w:vMerge w:val="restart"/>
            <w:tcBorders>
              <w:top w:val="nil"/>
              <w:left w:val="single" w:color="auto" w:sz="8" w:space="0"/>
              <w:right w:val="single" w:color="auto" w:sz="4" w:space="0"/>
            </w:tcBorders>
            <w:noWrap w:val="0"/>
            <w:vAlign w:val="center"/>
          </w:tcPr>
          <w:p>
            <w:pPr>
              <w:spacing w:line="320" w:lineRule="exact"/>
              <w:jc w:val="center"/>
              <w:rPr>
                <w:rFonts w:ascii="宋体" w:hAnsi="宋体"/>
                <w:color w:val="auto"/>
                <w:szCs w:val="32"/>
                <w:highlight w:val="none"/>
              </w:rPr>
            </w:pPr>
            <w:r>
              <w:rPr>
                <w:rFonts w:ascii="宋体" w:hAnsi="宋体"/>
                <w:color w:val="auto"/>
                <w:szCs w:val="32"/>
                <w:highlight w:val="none"/>
              </w:rPr>
              <w:t>2</w:t>
            </w:r>
          </w:p>
        </w:tc>
        <w:tc>
          <w:tcPr>
            <w:tcW w:w="1104" w:type="dxa"/>
            <w:vMerge w:val="restart"/>
            <w:tcBorders>
              <w:top w:val="nil"/>
              <w:left w:val="single" w:color="auto" w:sz="4" w:space="0"/>
              <w:right w:val="single" w:color="auto" w:sz="4" w:space="0"/>
            </w:tcBorders>
            <w:noWrap w:val="0"/>
            <w:vAlign w:val="center"/>
          </w:tcPr>
          <w:p>
            <w:pPr>
              <w:spacing w:line="320" w:lineRule="exact"/>
              <w:jc w:val="center"/>
              <w:rPr>
                <w:rFonts w:ascii="宋体" w:hAnsi="宋体"/>
                <w:bCs/>
                <w:color w:val="auto"/>
                <w:szCs w:val="32"/>
                <w:highlight w:val="none"/>
              </w:rPr>
            </w:pPr>
            <w:r>
              <w:rPr>
                <w:rFonts w:hint="eastAsia" w:ascii="宋体" w:hAnsi="宋体"/>
                <w:bCs/>
                <w:color w:val="auto"/>
                <w:szCs w:val="32"/>
                <w:highlight w:val="none"/>
              </w:rPr>
              <w:t>报名</w:t>
            </w:r>
            <w:r>
              <w:rPr>
                <w:rFonts w:hint="eastAsia" w:ascii="宋体" w:hAnsi="宋体"/>
                <w:bCs/>
                <w:color w:val="auto"/>
                <w:szCs w:val="32"/>
                <w:highlight w:val="none"/>
                <w:lang w:val="en-US" w:eastAsia="zh-CN"/>
              </w:rPr>
              <w:t xml:space="preserve">       供应商 </w:t>
            </w:r>
            <w:r>
              <w:rPr>
                <w:rFonts w:hint="eastAsia" w:ascii="宋体" w:hAnsi="宋体"/>
                <w:bCs/>
                <w:color w:val="auto"/>
                <w:szCs w:val="32"/>
                <w:highlight w:val="none"/>
              </w:rPr>
              <w:t>联系方式</w:t>
            </w:r>
          </w:p>
        </w:tc>
        <w:tc>
          <w:tcPr>
            <w:tcW w:w="1698" w:type="dxa"/>
            <w:tcBorders>
              <w:top w:val="nil"/>
              <w:left w:val="nil"/>
              <w:bottom w:val="single" w:color="auto" w:sz="4" w:space="0"/>
              <w:right w:val="single" w:color="auto" w:sz="4" w:space="0"/>
            </w:tcBorders>
            <w:noWrap w:val="0"/>
            <w:vAlign w:val="center"/>
          </w:tcPr>
          <w:p>
            <w:pPr>
              <w:spacing w:line="320" w:lineRule="exact"/>
              <w:jc w:val="center"/>
              <w:rPr>
                <w:rFonts w:ascii="宋体" w:hAnsi="宋体"/>
                <w:bCs/>
                <w:color w:val="auto"/>
                <w:szCs w:val="32"/>
                <w:highlight w:val="none"/>
              </w:rPr>
            </w:pPr>
            <w:r>
              <w:rPr>
                <w:rFonts w:hint="eastAsia" w:ascii="宋体" w:hAnsi="宋体"/>
                <w:bCs/>
                <w:color w:val="auto"/>
                <w:szCs w:val="32"/>
                <w:highlight w:val="none"/>
              </w:rPr>
              <w:t>联系人姓名</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p>
        </w:tc>
      </w:tr>
      <w:tr>
        <w:tblPrEx>
          <w:tblCellMar>
            <w:top w:w="0" w:type="dxa"/>
            <w:left w:w="108" w:type="dxa"/>
            <w:bottom w:w="0" w:type="dxa"/>
            <w:right w:w="108" w:type="dxa"/>
          </w:tblCellMar>
        </w:tblPrEx>
        <w:trPr>
          <w:trHeight w:val="741" w:hRule="exact"/>
        </w:trPr>
        <w:tc>
          <w:tcPr>
            <w:tcW w:w="1060" w:type="dxa"/>
            <w:vMerge w:val="continue"/>
            <w:tcBorders>
              <w:left w:val="single" w:color="auto" w:sz="8" w:space="0"/>
              <w:right w:val="single" w:color="auto" w:sz="4" w:space="0"/>
            </w:tcBorders>
            <w:noWrap w:val="0"/>
            <w:vAlign w:val="center"/>
          </w:tcPr>
          <w:p>
            <w:pPr>
              <w:spacing w:line="320" w:lineRule="exact"/>
              <w:jc w:val="center"/>
              <w:rPr>
                <w:rFonts w:ascii="宋体" w:hAnsi="宋体"/>
                <w:color w:val="auto"/>
                <w:szCs w:val="32"/>
                <w:highlight w:val="none"/>
              </w:rPr>
            </w:pPr>
          </w:p>
        </w:tc>
        <w:tc>
          <w:tcPr>
            <w:tcW w:w="1104" w:type="dxa"/>
            <w:vMerge w:val="continue"/>
            <w:tcBorders>
              <w:left w:val="single" w:color="auto" w:sz="4" w:space="0"/>
              <w:right w:val="single" w:color="auto" w:sz="4" w:space="0"/>
            </w:tcBorders>
            <w:noWrap w:val="0"/>
            <w:vAlign w:val="center"/>
          </w:tcPr>
          <w:p>
            <w:pPr>
              <w:spacing w:line="320" w:lineRule="exact"/>
              <w:jc w:val="center"/>
              <w:rPr>
                <w:rFonts w:ascii="宋体" w:hAnsi="宋体"/>
                <w:bCs/>
                <w:color w:val="auto"/>
                <w:szCs w:val="32"/>
                <w:highlight w:val="none"/>
              </w:rPr>
            </w:pPr>
          </w:p>
        </w:tc>
        <w:tc>
          <w:tcPr>
            <w:tcW w:w="1698" w:type="dxa"/>
            <w:tcBorders>
              <w:top w:val="nil"/>
              <w:left w:val="nil"/>
              <w:bottom w:val="single" w:color="auto" w:sz="4" w:space="0"/>
              <w:right w:val="single" w:color="auto" w:sz="4" w:space="0"/>
            </w:tcBorders>
            <w:noWrap w:val="0"/>
            <w:vAlign w:val="center"/>
          </w:tcPr>
          <w:p>
            <w:pPr>
              <w:spacing w:line="320" w:lineRule="exact"/>
              <w:jc w:val="center"/>
              <w:rPr>
                <w:rFonts w:ascii="宋体" w:hAnsi="宋体"/>
                <w:bCs/>
                <w:color w:val="auto"/>
                <w:szCs w:val="32"/>
                <w:highlight w:val="none"/>
              </w:rPr>
            </w:pPr>
            <w:r>
              <w:rPr>
                <w:rFonts w:hint="eastAsia" w:ascii="宋体" w:hAnsi="宋体"/>
                <w:bCs/>
                <w:color w:val="auto"/>
                <w:szCs w:val="32"/>
                <w:highlight w:val="none"/>
              </w:rPr>
              <w:t>联系人手机号</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 xml:space="preserve">                        </w:t>
            </w:r>
          </w:p>
        </w:tc>
      </w:tr>
      <w:tr>
        <w:tblPrEx>
          <w:tblCellMar>
            <w:top w:w="0" w:type="dxa"/>
            <w:left w:w="108" w:type="dxa"/>
            <w:bottom w:w="0" w:type="dxa"/>
            <w:right w:w="108" w:type="dxa"/>
          </w:tblCellMar>
        </w:tblPrEx>
        <w:trPr>
          <w:trHeight w:val="1068" w:hRule="exact"/>
        </w:trPr>
        <w:tc>
          <w:tcPr>
            <w:tcW w:w="1060" w:type="dxa"/>
            <w:vMerge w:val="continue"/>
            <w:tcBorders>
              <w:left w:val="single" w:color="auto" w:sz="8"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p>
        </w:tc>
        <w:tc>
          <w:tcPr>
            <w:tcW w:w="1104"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p>
        </w:tc>
        <w:tc>
          <w:tcPr>
            <w:tcW w:w="1698" w:type="dxa"/>
            <w:tcBorders>
              <w:top w:val="nil"/>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电子邮箱</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p>
        </w:tc>
      </w:tr>
      <w:tr>
        <w:tblPrEx>
          <w:tblCellMar>
            <w:top w:w="0" w:type="dxa"/>
            <w:left w:w="108" w:type="dxa"/>
            <w:bottom w:w="0" w:type="dxa"/>
            <w:right w:w="108" w:type="dxa"/>
          </w:tblCellMar>
        </w:tblPrEx>
        <w:trPr>
          <w:trHeight w:val="676" w:hRule="atLeast"/>
        </w:trPr>
        <w:tc>
          <w:tcPr>
            <w:tcW w:w="1060" w:type="dxa"/>
            <w:tcBorders>
              <w:top w:val="nil"/>
              <w:left w:val="single" w:color="auto" w:sz="8" w:space="0"/>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3</w:t>
            </w:r>
          </w:p>
        </w:tc>
        <w:tc>
          <w:tcPr>
            <w:tcW w:w="2802"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lang w:val="en-US" w:eastAsia="zh-CN"/>
              </w:rPr>
              <w:t>响应</w:t>
            </w:r>
            <w:r>
              <w:rPr>
                <w:rFonts w:hint="eastAsia" w:ascii="宋体" w:hAnsi="宋体"/>
                <w:color w:val="auto"/>
                <w:szCs w:val="32"/>
                <w:highlight w:val="none"/>
              </w:rPr>
              <w:t>标段</w:t>
            </w:r>
          </w:p>
        </w:tc>
        <w:tc>
          <w:tcPr>
            <w:tcW w:w="4874" w:type="dxa"/>
            <w:tcBorders>
              <w:top w:val="nil"/>
              <w:left w:val="nil"/>
              <w:bottom w:val="single" w:color="auto" w:sz="4" w:space="0"/>
              <w:right w:val="single" w:color="auto" w:sz="4" w:space="0"/>
            </w:tcBorders>
            <w:noWrap w:val="0"/>
            <w:vAlign w:val="center"/>
          </w:tcPr>
          <w:p>
            <w:pPr>
              <w:spacing w:line="320" w:lineRule="exact"/>
              <w:jc w:val="center"/>
              <w:rPr>
                <w:rFonts w:ascii="宋体" w:hAnsi="宋体"/>
                <w:i/>
                <w:color w:val="auto"/>
                <w:szCs w:val="32"/>
                <w:highlight w:val="none"/>
              </w:rPr>
            </w:pP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olor w:val="auto"/>
                <w:szCs w:val="32"/>
                <w:highlight w:val="none"/>
                <w:lang w:eastAsia="zh-CN"/>
              </w:rPr>
            </w:pPr>
            <w:r>
              <w:rPr>
                <w:rFonts w:hint="eastAsia" w:ascii="宋体" w:hAnsi="宋体"/>
                <w:color w:val="auto"/>
                <w:szCs w:val="32"/>
                <w:highlight w:val="none"/>
                <w:lang w:val="en-US" w:eastAsia="zh-CN"/>
              </w:rPr>
              <w:t>4</w:t>
            </w: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报名时间</w:t>
            </w:r>
          </w:p>
        </w:tc>
        <w:tc>
          <w:tcPr>
            <w:tcW w:w="4874" w:type="dxa"/>
            <w:tcBorders>
              <w:top w:val="nil"/>
              <w:left w:val="nil"/>
              <w:bottom w:val="single" w:color="auto" w:sz="8" w:space="0"/>
              <w:right w:val="single" w:color="auto" w:sz="4" w:space="0"/>
            </w:tcBorders>
            <w:noWrap w:val="0"/>
            <w:vAlign w:val="center"/>
          </w:tcPr>
          <w:p>
            <w:pPr>
              <w:spacing w:line="320" w:lineRule="exact"/>
              <w:jc w:val="center"/>
              <w:rPr>
                <w:rFonts w:ascii="宋体" w:hAnsi="宋体"/>
                <w:color w:val="auto"/>
                <w:szCs w:val="32"/>
                <w:highlight w:val="none"/>
              </w:rPr>
            </w:pPr>
            <w:r>
              <w:rPr>
                <w:rFonts w:hint="eastAsia" w:ascii="宋体" w:hAnsi="宋体"/>
                <w:color w:val="auto"/>
                <w:szCs w:val="32"/>
                <w:highlight w:val="none"/>
              </w:rPr>
              <w:t>年     月     日</w:t>
            </w: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lang w:val="en-US" w:eastAsia="zh-CN"/>
              </w:rPr>
              <w:t>5</w:t>
            </w: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rPr>
              <w:t>报名人签字</w:t>
            </w:r>
          </w:p>
        </w:tc>
        <w:tc>
          <w:tcPr>
            <w:tcW w:w="4874" w:type="dxa"/>
            <w:tcBorders>
              <w:top w:val="nil"/>
              <w:left w:val="nil"/>
              <w:bottom w:val="single" w:color="auto" w:sz="8" w:space="0"/>
              <w:right w:val="single" w:color="auto" w:sz="4" w:space="0"/>
            </w:tcBorders>
            <w:noWrap w:val="0"/>
            <w:vAlign w:val="center"/>
          </w:tcPr>
          <w:p>
            <w:pPr>
              <w:spacing w:line="320" w:lineRule="exact"/>
              <w:jc w:val="center"/>
              <w:rPr>
                <w:rFonts w:hint="eastAsia" w:ascii="宋体" w:hAnsi="宋体"/>
                <w:color w:val="auto"/>
                <w:szCs w:val="32"/>
                <w:highlight w:val="none"/>
              </w:rPr>
            </w:pPr>
          </w:p>
        </w:tc>
      </w:tr>
      <w:tr>
        <w:tblPrEx>
          <w:tblCellMar>
            <w:top w:w="0" w:type="dxa"/>
            <w:left w:w="108" w:type="dxa"/>
            <w:bottom w:w="0" w:type="dxa"/>
            <w:right w:w="108" w:type="dxa"/>
          </w:tblCellMar>
        </w:tblPrEx>
        <w:trPr>
          <w:trHeight w:val="651" w:hRule="atLeast"/>
        </w:trPr>
        <w:tc>
          <w:tcPr>
            <w:tcW w:w="1060" w:type="dxa"/>
            <w:vMerge w:val="restart"/>
            <w:tcBorders>
              <w:top w:val="nil"/>
              <w:left w:val="single" w:color="auto" w:sz="8" w:space="0"/>
              <w:right w:val="single" w:color="auto" w:sz="4" w:space="0"/>
            </w:tcBorders>
            <w:noWrap w:val="0"/>
            <w:vAlign w:val="center"/>
          </w:tcPr>
          <w:p>
            <w:pPr>
              <w:spacing w:line="320" w:lineRule="exact"/>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lang w:val="en-US" w:eastAsia="zh-CN"/>
              </w:rPr>
              <w:t>6</w:t>
            </w: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hint="default"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lang w:val="en-US" w:eastAsia="zh-CN"/>
              </w:rPr>
              <w:t>采购文件发售缴费情况</w:t>
            </w:r>
          </w:p>
        </w:tc>
        <w:tc>
          <w:tcPr>
            <w:tcW w:w="4874" w:type="dxa"/>
            <w:tcBorders>
              <w:top w:val="nil"/>
              <w:left w:val="nil"/>
              <w:bottom w:val="single" w:color="auto" w:sz="8" w:space="0"/>
              <w:right w:val="single" w:color="auto" w:sz="4" w:space="0"/>
            </w:tcBorders>
            <w:noWrap w:val="0"/>
            <w:vAlign w:val="center"/>
          </w:tcPr>
          <w:p>
            <w:pPr>
              <w:spacing w:line="320" w:lineRule="exact"/>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color w:val="auto"/>
                <w:szCs w:val="32"/>
                <w:highlight w:val="none"/>
                <w:lang w:val="en-US" w:eastAsia="zh-CN"/>
              </w:rPr>
              <w:t>已缴纳，汇款凭证附后</w:t>
            </w: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right w:val="single" w:color="auto" w:sz="4" w:space="0"/>
            </w:tcBorders>
            <w:noWrap w:val="0"/>
            <w:vAlign w:val="center"/>
          </w:tcPr>
          <w:p>
            <w:pPr>
              <w:spacing w:line="320" w:lineRule="exact"/>
              <w:jc w:val="center"/>
              <w:rPr>
                <w:rFonts w:hint="default" w:ascii="宋体" w:hAnsi="宋体"/>
                <w:color w:val="auto"/>
                <w:szCs w:val="32"/>
                <w:highlight w:val="none"/>
                <w:lang w:val="en-US" w:eastAsia="zh-CN"/>
              </w:rPr>
            </w:pP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hint="default" w:ascii="宋体" w:hAnsi="宋体" w:eastAsia="宋体"/>
                <w:color w:val="auto"/>
                <w:szCs w:val="32"/>
                <w:highlight w:val="none"/>
                <w:lang w:val="en-US" w:eastAsia="zh-CN"/>
              </w:rPr>
            </w:pPr>
            <w:r>
              <w:rPr>
                <w:rFonts w:hint="eastAsia" w:ascii="宋体" w:hAnsi="宋体"/>
                <w:color w:val="auto"/>
                <w:szCs w:val="32"/>
                <w:highlight w:val="none"/>
                <w:lang w:val="en-US" w:eastAsia="zh-CN"/>
              </w:rPr>
              <w:t>是否开票（划√）</w:t>
            </w:r>
          </w:p>
        </w:tc>
        <w:tc>
          <w:tcPr>
            <w:tcW w:w="4874" w:type="dxa"/>
            <w:tcBorders>
              <w:top w:val="nil"/>
              <w:left w:val="nil"/>
              <w:bottom w:val="single" w:color="auto" w:sz="8" w:space="0"/>
              <w:right w:val="single" w:color="auto" w:sz="4" w:space="0"/>
            </w:tcBorders>
            <w:noWrap w:val="0"/>
            <w:vAlign w:val="center"/>
          </w:tcPr>
          <w:p>
            <w:pPr>
              <w:spacing w:line="320" w:lineRule="exact"/>
              <w:jc w:val="center"/>
              <w:rPr>
                <w:rFonts w:hint="eastAsia" w:ascii="宋体" w:hAnsi="宋体"/>
                <w:color w:val="auto"/>
                <w:szCs w:val="32"/>
                <w:highlight w:val="none"/>
              </w:rPr>
            </w:pPr>
            <w:r>
              <w:rPr>
                <w:rFonts w:hint="eastAsia" w:ascii="宋体" w:hAnsi="宋体"/>
                <w:color w:val="auto"/>
                <w:szCs w:val="32"/>
                <w:highlight w:val="none"/>
                <w:lang w:val="en-US" w:eastAsia="zh-CN"/>
              </w:rPr>
              <w:sym w:font="Wingdings" w:char="00A8"/>
            </w:r>
            <w:r>
              <w:rPr>
                <w:rFonts w:hint="eastAsia" w:ascii="宋体" w:hAnsi="宋体"/>
                <w:color w:val="auto"/>
                <w:szCs w:val="32"/>
                <w:highlight w:val="none"/>
                <w:lang w:val="en-US" w:eastAsia="zh-CN"/>
              </w:rPr>
              <w:t xml:space="preserve">开票  </w:t>
            </w:r>
            <w:r>
              <w:rPr>
                <w:rFonts w:hint="eastAsia" w:ascii="宋体" w:hAnsi="宋体"/>
                <w:color w:val="auto"/>
                <w:szCs w:val="32"/>
                <w:highlight w:val="none"/>
                <w:lang w:val="en-US" w:eastAsia="zh-CN"/>
              </w:rPr>
              <w:sym w:font="Wingdings" w:char="00A8"/>
            </w:r>
            <w:r>
              <w:rPr>
                <w:rFonts w:hint="eastAsia" w:ascii="宋体" w:hAnsi="宋体"/>
                <w:color w:val="auto"/>
                <w:szCs w:val="32"/>
                <w:highlight w:val="none"/>
                <w:lang w:val="en-US" w:eastAsia="zh-CN"/>
              </w:rPr>
              <w:t xml:space="preserve">普票  </w:t>
            </w:r>
            <w:r>
              <w:rPr>
                <w:rFonts w:hint="eastAsia" w:ascii="宋体" w:hAnsi="宋体"/>
                <w:color w:val="auto"/>
                <w:szCs w:val="32"/>
                <w:highlight w:val="none"/>
                <w:lang w:val="en-US" w:eastAsia="zh-CN"/>
              </w:rPr>
              <w:sym w:font="Wingdings" w:char="00A8"/>
            </w:r>
            <w:r>
              <w:rPr>
                <w:rFonts w:hint="eastAsia" w:ascii="宋体" w:hAnsi="宋体"/>
                <w:color w:val="auto"/>
                <w:szCs w:val="32"/>
                <w:highlight w:val="none"/>
                <w:lang w:val="en-US" w:eastAsia="zh-CN"/>
              </w:rPr>
              <w:t xml:space="preserve">专票  </w:t>
            </w:r>
            <w:r>
              <w:rPr>
                <w:rFonts w:hint="eastAsia" w:ascii="宋体" w:hAnsi="宋体"/>
                <w:color w:val="auto"/>
                <w:szCs w:val="32"/>
                <w:highlight w:val="none"/>
                <w:lang w:val="en-US" w:eastAsia="zh-CN"/>
              </w:rPr>
              <w:sym w:font="Wingdings" w:char="00A8"/>
            </w:r>
            <w:r>
              <w:rPr>
                <w:rFonts w:hint="eastAsia" w:ascii="宋体" w:hAnsi="宋体"/>
                <w:color w:val="auto"/>
                <w:szCs w:val="32"/>
                <w:highlight w:val="none"/>
                <w:lang w:val="en-US" w:eastAsia="zh-CN"/>
              </w:rPr>
              <w:t>不开票</w:t>
            </w: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color w:val="auto"/>
                <w:szCs w:val="32"/>
                <w:highlight w:val="none"/>
                <w:lang w:val="en-US" w:eastAsia="zh-CN"/>
              </w:rPr>
            </w:pPr>
          </w:p>
        </w:tc>
        <w:tc>
          <w:tcPr>
            <w:tcW w:w="2802"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hint="default" w:ascii="宋体" w:hAnsi="宋体" w:eastAsia="宋体"/>
                <w:color w:val="auto"/>
                <w:szCs w:val="32"/>
                <w:highlight w:val="none"/>
                <w:lang w:val="en-US" w:eastAsia="zh-CN"/>
              </w:rPr>
            </w:pPr>
            <w:r>
              <w:rPr>
                <w:rFonts w:hint="eastAsia" w:ascii="宋体" w:hAnsi="宋体"/>
                <w:color w:val="auto"/>
                <w:szCs w:val="32"/>
                <w:highlight w:val="none"/>
                <w:lang w:val="en-US" w:eastAsia="zh-CN"/>
              </w:rPr>
              <w:t>开票信息</w:t>
            </w:r>
          </w:p>
        </w:tc>
        <w:tc>
          <w:tcPr>
            <w:tcW w:w="4874" w:type="dxa"/>
            <w:tcBorders>
              <w:top w:val="nil"/>
              <w:left w:val="nil"/>
              <w:bottom w:val="single" w:color="auto" w:sz="8" w:space="0"/>
              <w:right w:val="single" w:color="auto" w:sz="4" w:space="0"/>
            </w:tcBorders>
            <w:noWrap w:val="0"/>
            <w:vAlign w:val="center"/>
          </w:tcPr>
          <w:p>
            <w:pPr>
              <w:spacing w:line="320" w:lineRule="exact"/>
              <w:jc w:val="left"/>
              <w:rPr>
                <w:rFonts w:hint="eastAsia" w:ascii="宋体" w:hAnsi="宋体"/>
                <w:color w:val="auto"/>
                <w:szCs w:val="32"/>
                <w:highlight w:val="none"/>
              </w:rPr>
            </w:pPr>
            <w:r>
              <w:rPr>
                <w:rFonts w:hint="eastAsia" w:ascii="宋体" w:hAnsi="宋体"/>
                <w:color w:val="auto"/>
                <w:szCs w:val="32"/>
                <w:highlight w:val="none"/>
                <w:lang w:val="en-US" w:eastAsia="zh-CN"/>
              </w:rPr>
              <w:t>若购买资料费开具发票，请按照开票函及开票信息格式提供开票函签字盖章扫描件及电子版，报名人应确保信息正确，否则不予开票。</w:t>
            </w:r>
          </w:p>
        </w:tc>
      </w:tr>
    </w:tbl>
    <w:p>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rPr>
        <w:t>注：</w:t>
      </w:r>
    </w:p>
    <w:p>
      <w:pPr>
        <w:widowControl/>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kern w:val="30"/>
          <w:sz w:val="24"/>
          <w:highlight w:val="none"/>
        </w:rPr>
        <w:t>随</w:t>
      </w:r>
      <w:r>
        <w:rPr>
          <w:rFonts w:hint="eastAsia" w:ascii="宋体" w:hAnsi="宋体"/>
          <w:color w:val="auto"/>
          <w:sz w:val="24"/>
          <w:highlight w:val="none"/>
          <w:lang w:val="en-US" w:eastAsia="zh-CN"/>
        </w:rPr>
        <w:t>采购文件</w:t>
      </w:r>
      <w:r>
        <w:rPr>
          <w:rFonts w:hint="eastAsia" w:ascii="宋体" w:hAnsi="宋体"/>
          <w:color w:val="auto"/>
          <w:sz w:val="24"/>
          <w:highlight w:val="none"/>
        </w:rPr>
        <w:t>发售的资料，</w:t>
      </w:r>
      <w:r>
        <w:rPr>
          <w:rFonts w:hint="eastAsia" w:ascii="宋体" w:hAnsi="宋体"/>
          <w:color w:val="auto"/>
          <w:sz w:val="24"/>
          <w:highlight w:val="none"/>
          <w:lang w:val="en-US" w:eastAsia="zh-CN"/>
        </w:rPr>
        <w:t>供应</w:t>
      </w:r>
      <w:r>
        <w:rPr>
          <w:rFonts w:hint="eastAsia" w:ascii="宋体" w:hAnsi="宋体"/>
          <w:color w:val="auto"/>
          <w:sz w:val="24"/>
          <w:highlight w:val="none"/>
          <w:lang w:eastAsia="zh-CN"/>
        </w:rPr>
        <w:t>商</w:t>
      </w:r>
      <w:r>
        <w:rPr>
          <w:rFonts w:hint="eastAsia" w:ascii="宋体" w:hAnsi="宋体"/>
          <w:color w:val="auto"/>
          <w:sz w:val="24"/>
          <w:highlight w:val="none"/>
        </w:rPr>
        <w:t>仅用于本次项目，不得外泄或用作它用，因</w:t>
      </w:r>
      <w:r>
        <w:rPr>
          <w:rFonts w:hint="eastAsia" w:ascii="宋体" w:hAnsi="宋体"/>
          <w:color w:val="auto"/>
          <w:sz w:val="24"/>
          <w:highlight w:val="none"/>
          <w:lang w:val="en-US" w:eastAsia="zh-CN"/>
        </w:rPr>
        <w:t>供应商</w:t>
      </w:r>
      <w:r>
        <w:rPr>
          <w:rFonts w:hint="eastAsia" w:ascii="宋体" w:hAnsi="宋体"/>
          <w:color w:val="auto"/>
          <w:sz w:val="24"/>
          <w:highlight w:val="none"/>
        </w:rPr>
        <w:t>外泄项目资料造成的损失，采购人及</w:t>
      </w:r>
      <w:r>
        <w:rPr>
          <w:rFonts w:hint="eastAsia" w:ascii="宋体" w:hAnsi="宋体"/>
          <w:color w:val="auto"/>
          <w:sz w:val="24"/>
          <w:highlight w:val="none"/>
          <w:lang w:val="en-US" w:eastAsia="zh-CN"/>
        </w:rPr>
        <w:t>组织</w:t>
      </w:r>
      <w:r>
        <w:rPr>
          <w:rFonts w:hint="eastAsia" w:ascii="宋体" w:hAnsi="宋体"/>
          <w:color w:val="auto"/>
          <w:sz w:val="24"/>
          <w:highlight w:val="none"/>
        </w:rPr>
        <w:t>机构有为此索赔的权利。</w:t>
      </w:r>
    </w:p>
    <w:p>
      <w:pPr>
        <w:widowControl/>
        <w:numPr>
          <w:ilvl w:val="0"/>
          <w:numId w:val="0"/>
        </w:numPr>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以上信息请准备参加本项目</w:t>
      </w:r>
      <w:r>
        <w:rPr>
          <w:rFonts w:hint="eastAsia" w:ascii="宋体" w:hAnsi="宋体"/>
          <w:color w:val="auto"/>
          <w:sz w:val="24"/>
          <w:highlight w:val="none"/>
          <w:lang w:val="en-US" w:eastAsia="zh-CN"/>
        </w:rPr>
        <w:t>供应商</w:t>
      </w:r>
      <w:r>
        <w:rPr>
          <w:rFonts w:hint="eastAsia" w:ascii="宋体" w:hAnsi="宋体"/>
          <w:color w:val="auto"/>
          <w:sz w:val="24"/>
          <w:highlight w:val="none"/>
        </w:rPr>
        <w:t>认真填写，因填写错误，导致无法参加</w:t>
      </w:r>
      <w:r>
        <w:rPr>
          <w:rFonts w:hint="eastAsia" w:ascii="宋体" w:hAnsi="宋体"/>
          <w:color w:val="auto"/>
          <w:sz w:val="24"/>
          <w:highlight w:val="none"/>
          <w:lang w:val="en-US" w:eastAsia="zh-CN"/>
        </w:rPr>
        <w:t>的</w:t>
      </w:r>
      <w:r>
        <w:rPr>
          <w:rFonts w:hint="eastAsia" w:ascii="宋体" w:hAnsi="宋体"/>
          <w:color w:val="auto"/>
          <w:sz w:val="24"/>
          <w:highlight w:val="none"/>
        </w:rPr>
        <w:t>，后果自行承担。</w:t>
      </w:r>
    </w:p>
    <w:p>
      <w:pPr>
        <w:widowControl/>
        <w:numPr>
          <w:ilvl w:val="0"/>
          <w:numId w:val="0"/>
        </w:numPr>
        <w:ind w:firstLine="420" w:firstLineChars="200"/>
        <w:jc w:val="left"/>
        <w:rPr>
          <w:rFonts w:hint="default" w:eastAsia="宋体"/>
          <w:highlight w:val="none"/>
          <w:lang w:val="en-US" w:eastAsia="zh-CN"/>
        </w:rPr>
      </w:pPr>
      <w:r>
        <w:rPr>
          <w:rFonts w:hint="eastAsia"/>
          <w:highlight w:val="none"/>
          <w:lang w:val="en-US" w:eastAsia="zh-CN"/>
        </w:rPr>
        <w:t xml:space="preserve"> </w:t>
      </w:r>
      <w:r>
        <w:rPr>
          <w:rFonts w:hint="eastAsia" w:ascii="宋体" w:hAnsi="宋体" w:eastAsia="宋体" w:cs="Times New Roman"/>
          <w:b w:val="0"/>
          <w:color w:val="auto"/>
          <w:kern w:val="2"/>
          <w:sz w:val="24"/>
          <w:szCs w:val="24"/>
          <w:highlight w:val="none"/>
          <w:lang w:val="en-US" w:eastAsia="zh-CN" w:bidi="ar-SA"/>
        </w:rPr>
        <w:t>3.此处</w:t>
      </w:r>
      <w:r>
        <w:rPr>
          <w:rFonts w:hint="eastAsia" w:ascii="宋体" w:hAnsi="宋体" w:cs="Times New Roman"/>
          <w:b w:val="0"/>
          <w:color w:val="auto"/>
          <w:kern w:val="2"/>
          <w:sz w:val="24"/>
          <w:szCs w:val="24"/>
          <w:highlight w:val="none"/>
          <w:lang w:val="en-US" w:eastAsia="zh-CN" w:bidi="ar-SA"/>
        </w:rPr>
        <w:t>供应商为供应商、服务商、承运商、承包商等的统称。</w:t>
      </w:r>
    </w:p>
    <w:p>
      <w:pPr>
        <w:rPr>
          <w:rFonts w:hint="eastAsia"/>
          <w:highlight w:val="none"/>
        </w:rPr>
      </w:pPr>
    </w:p>
    <w:p>
      <w:pPr>
        <w:pStyle w:val="6"/>
        <w:ind w:left="0" w:leftChars="0" w:firstLine="0" w:firstLineChars="0"/>
        <w:jc w:val="center"/>
        <w:rPr>
          <w:rFonts w:hint="eastAsia" w:ascii="宋体" w:hAnsi="宋体" w:eastAsia="宋体" w:cs="宋体"/>
          <w:color w:val="000000"/>
          <w:sz w:val="24"/>
          <w:szCs w:val="21"/>
          <w:highlight w:val="none"/>
        </w:rPr>
      </w:pPr>
      <w:r>
        <w:rPr>
          <w:rFonts w:hint="eastAsia" w:ascii="宋体" w:hAnsi="宋体" w:eastAsia="宋体" w:cs="宋体"/>
          <w:color w:val="000000"/>
          <w:sz w:val="24"/>
          <w:szCs w:val="21"/>
          <w:highlight w:val="none"/>
        </w:rPr>
        <w:t>法定代表人身份证明书</w:t>
      </w:r>
    </w:p>
    <w:p>
      <w:pPr>
        <w:spacing w:line="360" w:lineRule="auto"/>
        <w:jc w:val="center"/>
        <w:rPr>
          <w:rFonts w:hint="eastAsia" w:ascii="宋体" w:hAnsi="宋体" w:eastAsia="宋体" w:cs="宋体"/>
          <w:b/>
          <w:color w:val="000000"/>
          <w:szCs w:val="21"/>
          <w:highlight w:val="none"/>
        </w:rPr>
      </w:pPr>
    </w:p>
    <w:p>
      <w:pPr>
        <w:spacing w:line="360" w:lineRule="auto"/>
        <w:rPr>
          <w:rFonts w:hint="eastAsia" w:ascii="宋体" w:hAnsi="宋体" w:eastAsia="宋体" w:cs="宋体"/>
          <w:b/>
          <w:color w:val="000000"/>
          <w:szCs w:val="21"/>
          <w:highlight w:val="none"/>
        </w:rPr>
      </w:pPr>
    </w:p>
    <w:p>
      <w:pPr>
        <w:spacing w:line="360" w:lineRule="auto"/>
        <w:ind w:firstLine="612"/>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单位名称：</w:t>
      </w:r>
      <w:r>
        <w:rPr>
          <w:rFonts w:hint="eastAsia" w:ascii="宋体" w:hAnsi="宋体" w:eastAsia="宋体" w:cs="宋体"/>
          <w:color w:val="000000"/>
          <w:szCs w:val="21"/>
          <w:highlight w:val="none"/>
          <w:u w:val="single"/>
        </w:rPr>
        <w:t xml:space="preserve">                                             </w:t>
      </w:r>
    </w:p>
    <w:p>
      <w:pPr>
        <w:spacing w:line="360" w:lineRule="auto"/>
        <w:ind w:firstLine="61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pPr>
        <w:spacing w:line="360" w:lineRule="auto"/>
        <w:ind w:firstLine="61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联系电话：</w:t>
      </w:r>
      <w:r>
        <w:rPr>
          <w:rFonts w:hint="eastAsia" w:ascii="宋体" w:hAnsi="宋体" w:eastAsia="宋体" w:cs="宋体"/>
          <w:color w:val="000000"/>
          <w:szCs w:val="21"/>
          <w:highlight w:val="none"/>
          <w:u w:val="single"/>
        </w:rPr>
        <w:t xml:space="preserve">                                             </w:t>
      </w:r>
    </w:p>
    <w:p>
      <w:pPr>
        <w:spacing w:line="360" w:lineRule="auto"/>
        <w:ind w:firstLine="61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电子邮箱：</w:t>
      </w:r>
      <w:r>
        <w:rPr>
          <w:rFonts w:hint="eastAsia" w:ascii="宋体" w:hAnsi="宋体" w:eastAsia="宋体" w:cs="宋体"/>
          <w:color w:val="000000"/>
          <w:szCs w:val="21"/>
          <w:highlight w:val="none"/>
          <w:u w:val="single"/>
        </w:rPr>
        <w:t xml:space="preserve">                                             </w:t>
      </w:r>
    </w:p>
    <w:p>
      <w:pPr>
        <w:spacing w:line="360" w:lineRule="auto"/>
        <w:ind w:firstLine="610"/>
        <w:rPr>
          <w:rFonts w:hint="eastAsia" w:ascii="宋体" w:hAnsi="宋体" w:eastAsia="宋体" w:cs="宋体"/>
          <w:color w:val="000000"/>
          <w:szCs w:val="21"/>
          <w:highlight w:val="none"/>
          <w:u w:val="single"/>
        </w:rPr>
      </w:pPr>
    </w:p>
    <w:p>
      <w:pPr>
        <w:spacing w:line="360" w:lineRule="auto"/>
        <w:ind w:firstLine="610"/>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（法定代表人姓名）  </w:t>
      </w:r>
      <w:r>
        <w:rPr>
          <w:rFonts w:hint="eastAsia" w:ascii="宋体" w:hAnsi="宋体" w:eastAsia="宋体" w:cs="宋体"/>
          <w:color w:val="000000"/>
          <w:szCs w:val="21"/>
          <w:highlight w:val="none"/>
        </w:rPr>
        <w:t>系</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供应商</w:t>
      </w:r>
      <w:r>
        <w:rPr>
          <w:rFonts w:hint="eastAsia" w:ascii="宋体" w:hAnsi="宋体" w:eastAsia="宋体" w:cs="宋体"/>
          <w:color w:val="000000"/>
          <w:szCs w:val="21"/>
          <w:highlight w:val="none"/>
          <w:u w:val="single"/>
        </w:rPr>
        <w:t xml:space="preserve">名称）          </w:t>
      </w:r>
      <w:r>
        <w:rPr>
          <w:rFonts w:hint="eastAsia" w:ascii="宋体" w:hAnsi="宋体" w:eastAsia="宋体" w:cs="宋体"/>
          <w:color w:val="000000"/>
          <w:szCs w:val="21"/>
          <w:highlight w:val="none"/>
        </w:rPr>
        <w:t>的法定代表人。</w:t>
      </w:r>
    </w:p>
    <w:p>
      <w:pPr>
        <w:spacing w:line="360" w:lineRule="auto"/>
        <w:ind w:firstLine="610"/>
        <w:rPr>
          <w:rFonts w:hint="eastAsia" w:ascii="宋体" w:hAnsi="宋体" w:eastAsia="宋体" w:cs="宋体"/>
          <w:color w:val="000000"/>
          <w:szCs w:val="21"/>
          <w:highlight w:val="none"/>
        </w:rPr>
      </w:pPr>
    </w:p>
    <w:p>
      <w:pPr>
        <w:spacing w:line="360" w:lineRule="auto"/>
        <w:ind w:firstLine="61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pPr>
        <w:tabs>
          <w:tab w:val="left" w:pos="720"/>
          <w:tab w:val="left" w:pos="900"/>
        </w:tabs>
        <w:spacing w:line="360" w:lineRule="auto"/>
        <w:rPr>
          <w:rFonts w:hint="eastAsia" w:ascii="宋体" w:hAnsi="宋体" w:eastAsia="宋体" w:cs="宋体"/>
          <w:color w:val="000000"/>
          <w:szCs w:val="21"/>
          <w:highlight w:val="none"/>
        </w:rPr>
      </w:pPr>
    </w:p>
    <w:p>
      <w:pPr>
        <w:tabs>
          <w:tab w:val="left" w:pos="720"/>
          <w:tab w:val="left" w:pos="90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3065780</wp:posOffset>
                </wp:positionH>
                <wp:positionV relativeFrom="paragraph">
                  <wp:posOffset>8255</wp:posOffset>
                </wp:positionV>
                <wp:extent cx="2543175" cy="1340485"/>
                <wp:effectExtent l="4445" t="4445" r="5080" b="7620"/>
                <wp:wrapNone/>
                <wp:docPr id="4" name="文本框 4"/>
                <wp:cNvGraphicFramePr/>
                <a:graphic xmlns:a="http://schemas.openxmlformats.org/drawingml/2006/main">
                  <a:graphicData uri="http://schemas.microsoft.com/office/word/2010/wordprocessingShape">
                    <wps:wsp>
                      <wps:cNvSpPr txBox="1"/>
                      <wps:spPr>
                        <a:xfrm>
                          <a:off x="0" y="0"/>
                          <a:ext cx="2543175" cy="1340485"/>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此处附法定代表人本人身份证明</w:t>
                            </w:r>
                          </w:p>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反面扫描件</w:t>
                            </w:r>
                          </w:p>
                        </w:txbxContent>
                      </wps:txbx>
                      <wps:bodyPr anchor="ctr" anchorCtr="0" upright="1"/>
                    </wps:wsp>
                  </a:graphicData>
                </a:graphic>
              </wp:anchor>
            </w:drawing>
          </mc:Choice>
          <mc:Fallback>
            <w:pict>
              <v:shape id="_x0000_s1026" o:spid="_x0000_s1026" o:spt="202" type="#_x0000_t202" style="position:absolute;left:0pt;margin-left:241.4pt;margin-top:0.65pt;height:105.55pt;width:200.25pt;z-index:251660288;v-text-anchor:middle;mso-width-relative:page;mso-height-relative:page;" fillcolor="#FFFFFF" filled="t" stroked="t" coordsize="21600,21600" o:gfxdata="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7K0dvW&#10;AAAACQEAAA8AAAAAAAAAAQAgAAAAIgAAAGRycy9kb3ducmV2LnhtbFBLAQIUABQAAAAIAIdO4kDc&#10;Ih7+IgIAAGAEAAAOAAAAAAAAAAEAIAAAACUBAABkcnMvZTJvRG9jLnhtbFBLBQYAAAAABgAGAFkB&#10;AAC5BQAAAAA=&#10;">
                <v:fill on="t" focussize="0,0"/>
                <v:stroke color="#000000" joinstyle="miter" dashstyle="1 1" endcap="round"/>
                <v:imagedata o:title=""/>
                <o:lock v:ext="edit" aspectratio="f"/>
                <v:textbox>
                  <w:txbxContent>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此处附法定代表人本人身份证明</w:t>
                      </w:r>
                    </w:p>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反面扫描件</w:t>
                      </w:r>
                    </w:p>
                  </w:txbxContent>
                </v:textbox>
              </v:shape>
            </w:pict>
          </mc:Fallback>
        </mc:AlternateContent>
      </w:r>
      <w:r>
        <w:rPr>
          <w:rFonts w:hint="eastAsia" w:ascii="宋体" w:hAnsi="宋体" w:eastAsia="宋体" w:cs="宋体"/>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311785</wp:posOffset>
                </wp:positionH>
                <wp:positionV relativeFrom="paragraph">
                  <wp:posOffset>8255</wp:posOffset>
                </wp:positionV>
                <wp:extent cx="2543175" cy="1340485"/>
                <wp:effectExtent l="4445" t="4445" r="5080" b="7620"/>
                <wp:wrapNone/>
                <wp:docPr id="2" name="文本框 2"/>
                <wp:cNvGraphicFramePr/>
                <a:graphic xmlns:a="http://schemas.openxmlformats.org/drawingml/2006/main">
                  <a:graphicData uri="http://schemas.microsoft.com/office/word/2010/wordprocessingShape">
                    <wps:wsp>
                      <wps:cNvSpPr txBox="1"/>
                      <wps:spPr>
                        <a:xfrm>
                          <a:off x="0" y="0"/>
                          <a:ext cx="2543175" cy="1340485"/>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此处附法定代表人本人身份证明</w:t>
                            </w:r>
                          </w:p>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正面扫描件</w:t>
                            </w:r>
                          </w:p>
                        </w:txbxContent>
                      </wps:txbx>
                      <wps:bodyPr anchor="ctr" anchorCtr="0" upright="1"/>
                    </wps:wsp>
                  </a:graphicData>
                </a:graphic>
              </wp:anchor>
            </w:drawing>
          </mc:Choice>
          <mc:Fallback>
            <w:pict>
              <v:shape id="_x0000_s1026" o:spid="_x0000_s1026" o:spt="202" type="#_x0000_t202" style="position:absolute;left:0pt;margin-left:24.55pt;margin-top:0.65pt;height:105.55pt;width:200.25pt;z-index:251659264;v-text-anchor:middle;mso-width-relative:page;mso-height-relative:page;" fillcolor="#FFFFFF" filled="t" stroked="t" coordsize="21600,21600" o:gfxdata="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hUqPdYA&#10;AAAIAQAADwAAAAAAAAABACAAAAAiAAAAZHJzL2Rvd25yZXYueG1sUEsBAhQAFAAAAAgAh07iQJoZ&#10;9D8hAgAAYAQAAA4AAAAAAAAAAQAgAAAAJQEAAGRycy9lMm9Eb2MueG1sUEsFBgAAAAAGAAYAWQEA&#10;ALgFAAAAAA==&#10;">
                <v:fill on="t" focussize="0,0"/>
                <v:stroke color="#000000" joinstyle="miter" dashstyle="1 1" endcap="round"/>
                <v:imagedata o:title=""/>
                <o:lock v:ext="edit" aspectratio="f"/>
                <v:textbox>
                  <w:txbxContent>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此处附法定代表人本人身份证明</w:t>
                      </w:r>
                    </w:p>
                    <w:p>
                      <w:pPr>
                        <w:spacing w:line="360" w:lineRule="auto"/>
                        <w:jc w:val="center"/>
                        <w:rPr>
                          <w:rFonts w:hint="eastAsia" w:ascii="Times New Roman" w:hAnsi="Times New Roman" w:eastAsia="宋体" w:cs="Times New Roman"/>
                        </w:rPr>
                      </w:pPr>
                      <w:r>
                        <w:rPr>
                          <w:rFonts w:hint="eastAsia" w:ascii="Times New Roman" w:hAnsi="Times New Roman" w:eastAsia="宋体" w:cs="Times New Roman"/>
                        </w:rPr>
                        <w:t>正面扫描件</w:t>
                      </w:r>
                    </w:p>
                  </w:txbxContent>
                </v:textbox>
              </v:shape>
            </w:pict>
          </mc:Fallback>
        </mc:AlternateContent>
      </w:r>
    </w:p>
    <w:p>
      <w:pPr>
        <w:tabs>
          <w:tab w:val="left" w:pos="720"/>
          <w:tab w:val="left" w:pos="900"/>
        </w:tabs>
        <w:spacing w:line="360" w:lineRule="auto"/>
        <w:rPr>
          <w:rFonts w:hint="eastAsia" w:ascii="宋体" w:hAnsi="宋体" w:eastAsia="宋体" w:cs="宋体"/>
          <w:color w:val="000000"/>
          <w:szCs w:val="21"/>
          <w:highlight w:val="none"/>
        </w:rPr>
      </w:pPr>
    </w:p>
    <w:p>
      <w:pPr>
        <w:tabs>
          <w:tab w:val="left" w:pos="720"/>
          <w:tab w:val="left" w:pos="900"/>
        </w:tabs>
        <w:spacing w:line="360" w:lineRule="auto"/>
        <w:rPr>
          <w:rFonts w:hint="eastAsia" w:ascii="宋体" w:hAnsi="宋体" w:eastAsia="宋体" w:cs="宋体"/>
          <w:color w:val="000000"/>
          <w:szCs w:val="21"/>
          <w:highlight w:val="none"/>
        </w:rPr>
      </w:pPr>
    </w:p>
    <w:p>
      <w:pPr>
        <w:tabs>
          <w:tab w:val="left" w:pos="720"/>
          <w:tab w:val="left" w:pos="900"/>
        </w:tabs>
        <w:spacing w:line="360" w:lineRule="auto"/>
        <w:rPr>
          <w:rFonts w:hint="eastAsia" w:ascii="宋体" w:hAnsi="宋体" w:eastAsia="宋体" w:cs="宋体"/>
          <w:color w:val="000000"/>
          <w:szCs w:val="21"/>
          <w:highlight w:val="none"/>
        </w:rPr>
      </w:pPr>
    </w:p>
    <w:p>
      <w:pPr>
        <w:tabs>
          <w:tab w:val="left" w:pos="720"/>
          <w:tab w:val="left" w:pos="900"/>
        </w:tabs>
        <w:spacing w:line="360" w:lineRule="auto"/>
        <w:ind w:firstLine="610"/>
        <w:rPr>
          <w:rFonts w:hint="eastAsia" w:ascii="宋体" w:hAnsi="宋体" w:eastAsia="宋体" w:cs="宋体"/>
          <w:color w:val="000000"/>
          <w:szCs w:val="21"/>
          <w:highlight w:val="none"/>
        </w:rPr>
      </w:pPr>
    </w:p>
    <w:p>
      <w:pPr>
        <w:tabs>
          <w:tab w:val="left" w:pos="720"/>
          <w:tab w:val="left" w:pos="900"/>
        </w:tabs>
        <w:spacing w:line="360" w:lineRule="auto"/>
        <w:ind w:firstLine="610"/>
        <w:rPr>
          <w:rFonts w:hint="eastAsia" w:ascii="宋体" w:hAnsi="宋体" w:eastAsia="宋体" w:cs="宋体"/>
          <w:color w:val="000000"/>
          <w:szCs w:val="21"/>
          <w:highlight w:val="none"/>
        </w:rPr>
      </w:pPr>
    </w:p>
    <w:p>
      <w:pPr>
        <w:tabs>
          <w:tab w:val="left" w:pos="720"/>
          <w:tab w:val="left" w:pos="900"/>
        </w:tabs>
        <w:spacing w:line="360" w:lineRule="auto"/>
        <w:ind w:firstLine="610"/>
        <w:rPr>
          <w:rFonts w:hint="eastAsia" w:ascii="宋体" w:hAnsi="宋体" w:eastAsia="宋体" w:cs="宋体"/>
          <w:color w:val="000000"/>
          <w:szCs w:val="21"/>
          <w:highlight w:val="none"/>
        </w:rPr>
      </w:pPr>
    </w:p>
    <w:p>
      <w:pPr>
        <w:tabs>
          <w:tab w:val="left" w:pos="720"/>
          <w:tab w:val="left" w:pos="900"/>
        </w:tabs>
        <w:spacing w:line="360" w:lineRule="auto"/>
        <w:ind w:firstLine="3570" w:firstLineChars="1700"/>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eastAsia="宋体" w:cs="宋体"/>
          <w:color w:val="000000"/>
          <w:szCs w:val="21"/>
          <w:highlight w:val="none"/>
        </w:rPr>
        <w:t>商：</w:t>
      </w:r>
      <w:r>
        <w:rPr>
          <w:rFonts w:hint="eastAsia" w:ascii="宋体" w:hAnsi="宋体" w:eastAsia="宋体" w:cs="宋体"/>
          <w:color w:val="000000"/>
          <w:szCs w:val="21"/>
          <w:highlight w:val="none"/>
          <w:u w:val="single"/>
        </w:rPr>
        <w:t xml:space="preserve">                          </w:t>
      </w:r>
      <w:r>
        <w:rPr>
          <w:rFonts w:hint="eastAsia" w:ascii="Times New Roman" w:hAnsi="Times New Roman" w:eastAsia="宋体" w:cs="Times New Roman"/>
          <w:szCs w:val="21"/>
          <w:highlight w:val="none"/>
        </w:rPr>
        <w:t>（盖单位公章）</w:t>
      </w:r>
      <w:r>
        <w:rPr>
          <w:rFonts w:hint="eastAsia" w:ascii="宋体" w:hAnsi="宋体" w:eastAsia="宋体" w:cs="宋体"/>
          <w:color w:val="000000"/>
          <w:szCs w:val="21"/>
          <w:highlight w:val="none"/>
        </w:rPr>
        <w:t xml:space="preserve">  </w:t>
      </w:r>
    </w:p>
    <w:p>
      <w:pPr>
        <w:tabs>
          <w:tab w:val="left" w:pos="720"/>
          <w:tab w:val="left" w:pos="900"/>
        </w:tabs>
        <w:spacing w:line="360" w:lineRule="auto"/>
        <w:ind w:left="3570" w:leftChars="1700" w:firstLine="610"/>
        <w:jc w:val="left"/>
        <w:rPr>
          <w:rFonts w:hint="eastAsia" w:ascii="宋体" w:hAnsi="宋体" w:eastAsia="宋体" w:cs="宋体"/>
          <w:color w:val="000000"/>
          <w:szCs w:val="21"/>
          <w:highlight w:val="none"/>
        </w:rPr>
      </w:pPr>
    </w:p>
    <w:p>
      <w:pPr>
        <w:tabs>
          <w:tab w:val="left" w:pos="720"/>
          <w:tab w:val="left" w:pos="900"/>
        </w:tabs>
        <w:spacing w:line="360" w:lineRule="auto"/>
        <w:ind w:firstLine="5670" w:firstLineChars="27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rPr>
          <w:rFonts w:ascii="Times New Roman" w:hAnsi="Times New Roman" w:eastAsia="宋体" w:cs="Times New Roman"/>
          <w:highlight w:val="none"/>
        </w:rPr>
      </w:pPr>
    </w:p>
    <w:p>
      <w:pPr>
        <w:pStyle w:val="6"/>
        <w:ind w:firstLine="0" w:firstLineChars="0"/>
        <w:jc w:val="center"/>
        <w:rPr>
          <w:rFonts w:hint="eastAsia" w:ascii="宋体" w:hAnsi="宋体" w:eastAsia="宋体" w:cs="宋体"/>
          <w:color w:val="000000"/>
          <w:highlight w:val="none"/>
        </w:rPr>
      </w:pPr>
      <w:r>
        <w:rPr>
          <w:rFonts w:hint="eastAsia" w:ascii="宋体" w:hAnsi="宋体" w:eastAsia="宋体" w:cs="宋体"/>
          <w:color w:val="000000"/>
          <w:highlight w:val="none"/>
        </w:rPr>
        <w:t>授权委托书</w:t>
      </w:r>
    </w:p>
    <w:p>
      <w:pPr>
        <w:spacing w:line="360" w:lineRule="auto"/>
        <w:rPr>
          <w:rFonts w:hint="eastAsia" w:ascii="宋体" w:hAnsi="宋体" w:eastAsia="宋体" w:cs="宋体"/>
          <w:b/>
          <w:color w:val="000000"/>
          <w:sz w:val="10"/>
          <w:highlight w:val="none"/>
        </w:rPr>
      </w:pP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（法人姓名） </w:t>
      </w: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cs="宋体"/>
          <w:color w:val="000000"/>
          <w:highlight w:val="none"/>
          <w:u w:val="single"/>
          <w:lang w:val="en-US" w:eastAsia="zh-CN"/>
        </w:rPr>
        <w:t>供应</w:t>
      </w:r>
      <w:r>
        <w:rPr>
          <w:rFonts w:hint="eastAsia" w:ascii="宋体" w:hAnsi="宋体" w:eastAsia="宋体" w:cs="宋体"/>
          <w:color w:val="000000"/>
          <w:highlight w:val="none"/>
          <w:u w:val="single"/>
        </w:rPr>
        <w:t xml:space="preserve">商名称）                   </w:t>
      </w:r>
      <w:r>
        <w:rPr>
          <w:rFonts w:hint="eastAsia" w:ascii="宋体" w:hAnsi="宋体" w:eastAsia="宋体" w:cs="宋体"/>
          <w:color w:val="000000"/>
          <w:highlight w:val="none"/>
        </w:rPr>
        <w:t>的法定代表人，</w:t>
      </w:r>
      <w:r>
        <w:rPr>
          <w:rFonts w:hint="eastAsia" w:ascii="Times New Roman" w:hAnsi="Times New Roman" w:eastAsia="宋体" w:cs="Times New Roman"/>
          <w:szCs w:val="21"/>
          <w:highlight w:val="none"/>
        </w:rPr>
        <w:t>现委托</w:t>
      </w:r>
      <w:r>
        <w:rPr>
          <w:rFonts w:hint="eastAsia" w:ascii="宋体" w:hAnsi="宋体" w:eastAsia="宋体" w:cs="宋体"/>
          <w:color w:val="000000"/>
          <w:highlight w:val="none"/>
          <w:u w:val="single"/>
        </w:rPr>
        <w:t xml:space="preserve">   （代理人姓名）  </w:t>
      </w:r>
      <w:r>
        <w:rPr>
          <w:rFonts w:hint="eastAsia" w:ascii="宋体" w:hAnsi="宋体" w:eastAsia="宋体" w:cs="宋体"/>
          <w:color w:val="000000"/>
          <w:highlight w:val="none"/>
        </w:rPr>
        <w:t xml:space="preserve">为我方 </w:t>
      </w:r>
      <w:r>
        <w:rPr>
          <w:rFonts w:hint="eastAsia" w:ascii="宋体" w:hAnsi="宋体" w:eastAsia="宋体" w:cs="宋体"/>
          <w:color w:val="000000"/>
          <w:highlight w:val="none"/>
          <w:u w:val="single"/>
        </w:rPr>
        <w:t xml:space="preserve"> （项目名称） </w:t>
      </w:r>
      <w:r>
        <w:rPr>
          <w:rFonts w:hint="eastAsia" w:ascii="宋体" w:hAnsi="宋体" w:eastAsia="宋体" w:cs="宋体"/>
          <w:color w:val="000000"/>
          <w:highlight w:val="none"/>
        </w:rPr>
        <w:t>代理人。代理人根据授权，以我方名义获取</w:t>
      </w:r>
      <w:r>
        <w:rPr>
          <w:rFonts w:hint="eastAsia" w:ascii="宋体" w:hAnsi="宋体" w:cs="宋体"/>
          <w:color w:val="000000"/>
          <w:highlight w:val="none"/>
          <w:lang w:val="en-US" w:eastAsia="zh-CN"/>
        </w:rPr>
        <w:t>采购</w:t>
      </w:r>
      <w:r>
        <w:rPr>
          <w:rFonts w:hint="eastAsia" w:ascii="宋体" w:hAnsi="宋体" w:eastAsia="宋体" w:cs="宋体"/>
          <w:color w:val="000000"/>
          <w:highlight w:val="none"/>
        </w:rPr>
        <w:t>文件有关事宜，其法律后果由我方承担。</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附：法定代表人、代理人身份证明</w:t>
      </w:r>
    </w:p>
    <w:p>
      <w:pPr>
        <w:spacing w:line="360" w:lineRule="auto"/>
        <w:ind w:left="720"/>
        <w:rPr>
          <w:rFonts w:hint="eastAsia" w:ascii="宋体" w:hAnsi="宋体" w:eastAsia="宋体" w:cs="宋体"/>
          <w:color w:val="000000"/>
          <w:highlight w:val="none"/>
        </w:rPr>
      </w:pPr>
      <w:r>
        <w:rPr>
          <w:rFonts w:hint="eastAsia" w:ascii="宋体" w:hAnsi="宋体" w:eastAsia="宋体" w:cs="宋体"/>
          <w:b/>
          <w:color w:val="000000"/>
          <w:highlight w:val="none"/>
        </w:rPr>
        <w:t>（附法人、代理人身份证扫</w:t>
      </w:r>
      <w:r>
        <w:rPr>
          <w:rFonts w:hint="eastAsia" w:ascii="宋体" w:hAnsi="宋体" w:eastAsia="宋体" w:cs="宋体"/>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3157220</wp:posOffset>
                </wp:positionH>
                <wp:positionV relativeFrom="paragraph">
                  <wp:posOffset>46355</wp:posOffset>
                </wp:positionV>
                <wp:extent cx="2709545" cy="1355090"/>
                <wp:effectExtent l="8255" t="7620" r="25400" b="8890"/>
                <wp:wrapNone/>
                <wp:docPr id="10" name="圆角矩形 10"/>
                <wp:cNvGraphicFramePr/>
                <a:graphic xmlns:a="http://schemas.openxmlformats.org/drawingml/2006/main">
                  <a:graphicData uri="http://schemas.microsoft.com/office/word/2010/wordprocessingShape">
                    <wps:wsp>
                      <wps:cNvSpPr/>
                      <wps:spPr>
                        <a:xfrm>
                          <a:off x="0" y="0"/>
                          <a:ext cx="2709545" cy="1355090"/>
                        </a:xfrm>
                        <a:prstGeom prst="roundRect">
                          <a:avLst>
                            <a:gd name="adj" fmla="val 16667"/>
                          </a:avLst>
                        </a:prstGeom>
                        <a:gradFill rotWithShape="0">
                          <a:gsLst>
                            <a:gs pos="0">
                              <a:srgbClr val="FFFFFF"/>
                            </a:gs>
                            <a:gs pos="100000">
                              <a:srgbClr val="FFFFFF"/>
                            </a:gs>
                          </a:gsLst>
                          <a:lin ang="0"/>
                          <a:tileRect/>
                        </a:gradFill>
                        <a:ln w="15875" cap="rnd" cmpd="sng">
                          <a:solidFill>
                            <a:srgbClr val="739CC3"/>
                          </a:solidFill>
                          <a:prstDash val="sysDot"/>
                          <a:headEnd type="none" w="med" len="med"/>
                          <a:tailEnd type="none" w="med" len="med"/>
                        </a:ln>
                        <a:effectLst/>
                      </wps:spPr>
                      <wps:txb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(附法人身份证反面扫描件)</w:t>
                            </w:r>
                          </w:p>
                          <w:p>
                            <w:pPr>
                              <w:jc w:val="center"/>
                              <w:rPr>
                                <w:rFonts w:ascii="楷体" w:hAnsi="楷体" w:eastAsia="楷体" w:cs="Times New Roman"/>
                                <w:i/>
                              </w:rPr>
                            </w:pPr>
                          </w:p>
                        </w:txbxContent>
                      </wps:txbx>
                      <wps:bodyPr upright="1"/>
                    </wps:wsp>
                  </a:graphicData>
                </a:graphic>
              </wp:anchor>
            </w:drawing>
          </mc:Choice>
          <mc:Fallback>
            <w:pict>
              <v:roundrect id="_x0000_s1026" o:spid="_x0000_s1026" o:spt="2" style="position:absolute;left:0pt;margin-left:248.6pt;margin-top:3.65pt;height:106.7pt;width:213.35pt;z-index:251662336;mso-width-relative:page;mso-height-relative:page;" fillcolor="#FFFFFF" filled="t" stroked="t" coordsize="21600,21600" arcsize="0.166666666666667" o:gfxdata="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dfjhNgAAAAJAQAADwAAAAAAAAABACAAAAAiAAAAZHJzL2Rvd25yZXYueG1s&#10;UEsBAhQAFAAAAAgAh07iQIpPRtxqAgAA7wQAAA4AAAAAAAAAAQAgAAAAJwEAAGRycy9lMm9Eb2Mu&#10;eG1sUEsFBgAAAAAGAAYAWQEAAAMGAAAAAA==&#10;">
                <v:fill type="gradient" on="t" color2="#FFFFFF" angle="90" focus="100%" focussize="0,0">
                  <o:fill type="gradientUnscaled" v:ext="backwardCompatible"/>
                </v:fill>
                <v:stroke weight="1.25pt" color="#739CC3" joinstyle="round" dashstyle="1 1" endcap="round"/>
                <v:imagedata o:title=""/>
                <o:lock v:ext="edit" aspectratio="f"/>
                <v:textbo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(附法人身份证反面扫描件)</w:t>
                      </w:r>
                    </w:p>
                    <w:p>
                      <w:pPr>
                        <w:jc w:val="center"/>
                        <w:rPr>
                          <w:rFonts w:ascii="楷体" w:hAnsi="楷体" w:eastAsia="楷体" w:cs="Times New Roman"/>
                          <w:i/>
                        </w:rPr>
                      </w:pPr>
                    </w:p>
                  </w:txbxContent>
                </v:textbox>
              </v:roundrect>
            </w:pict>
          </mc:Fallback>
        </mc:AlternateContent>
      </w:r>
      <w:r>
        <w:rPr>
          <w:rFonts w:hint="eastAsia" w:ascii="宋体" w:hAnsi="宋体" w:eastAsia="宋体" w:cs="宋体"/>
          <w:b/>
          <w:color w:val="000000"/>
          <w:sz w:val="22"/>
          <w:highlight w:val="none"/>
        </w:rPr>
        <mc:AlternateContent>
          <mc:Choice Requires="wps">
            <w:drawing>
              <wp:anchor distT="0" distB="0" distL="114300" distR="114300" simplePos="0" relativeHeight="251661312" behindDoc="0" locked="0" layoutInCell="1" allowOverlap="1">
                <wp:simplePos x="0" y="0"/>
                <wp:positionH relativeFrom="column">
                  <wp:posOffset>177800</wp:posOffset>
                </wp:positionH>
                <wp:positionV relativeFrom="paragraph">
                  <wp:posOffset>46355</wp:posOffset>
                </wp:positionV>
                <wp:extent cx="2675890" cy="1355090"/>
                <wp:effectExtent l="8255" t="7620" r="20955" b="8890"/>
                <wp:wrapNone/>
                <wp:docPr id="9" name="圆角矩形 9"/>
                <wp:cNvGraphicFramePr/>
                <a:graphic xmlns:a="http://schemas.openxmlformats.org/drawingml/2006/main">
                  <a:graphicData uri="http://schemas.microsoft.com/office/word/2010/wordprocessingShape">
                    <wps:wsp>
                      <wps:cNvSpPr/>
                      <wps:spPr>
                        <a:xfrm>
                          <a:off x="0" y="0"/>
                          <a:ext cx="2675890" cy="1355090"/>
                        </a:xfrm>
                        <a:prstGeom prst="roundRect">
                          <a:avLst>
                            <a:gd name="adj" fmla="val 16667"/>
                          </a:avLst>
                        </a:prstGeom>
                        <a:gradFill rotWithShape="0">
                          <a:gsLst>
                            <a:gs pos="0">
                              <a:srgbClr val="FFFFFF"/>
                            </a:gs>
                            <a:gs pos="100000">
                              <a:srgbClr val="FFFFFF"/>
                            </a:gs>
                          </a:gsLst>
                          <a:lin ang="0"/>
                          <a:tileRect/>
                        </a:gradFill>
                        <a:ln w="15875" cap="rnd" cmpd="sng">
                          <a:solidFill>
                            <a:srgbClr val="739CC3"/>
                          </a:solidFill>
                          <a:prstDash val="sysDot"/>
                          <a:headEnd type="none" w="med" len="med"/>
                          <a:tailEnd type="none" w="med" len="med"/>
                        </a:ln>
                        <a:effectLst/>
                      </wps:spPr>
                      <wps:txb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(附法人身份证正面扫描件)</w:t>
                            </w:r>
                          </w:p>
                        </w:txbxContent>
                      </wps:txbx>
                      <wps:bodyPr upright="1"/>
                    </wps:wsp>
                  </a:graphicData>
                </a:graphic>
              </wp:anchor>
            </w:drawing>
          </mc:Choice>
          <mc:Fallback>
            <w:pict>
              <v:roundrect id="_x0000_s1026" o:spid="_x0000_s1026" o:spt="2" style="position:absolute;left:0pt;margin-left:14pt;margin-top:3.65pt;height:106.7pt;width:210.7pt;z-index:251661312;mso-width-relative:page;mso-height-relative:page;" fillcolor="#FFFFFF" filled="t" stroked="t" coordsize="21600,21600" arcsize="0.166666666666667" o:gfxdata="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hwvebYAAAACAEAAA8AAAAAAAAAAQAgAAAAIgAAAGRycy9kb3ducmV2LnhtbFBL&#10;AQIUABQAAAAIAIdO4kCBHmsnaAIAAO0EAAAOAAAAAAAAAAEAIAAAACcBAABkcnMvZTJvRG9jLnht&#10;bFBLBQYAAAAABgAGAFkBAAABBgAAAAA=&#10;">
                <v:fill type="gradient" on="t" color2="#FFFFFF" angle="90" focus="100%" focussize="0,0">
                  <o:fill type="gradientUnscaled" v:ext="backwardCompatible"/>
                </v:fill>
                <v:stroke weight="1.25pt" color="#739CC3" joinstyle="round" dashstyle="1 1" endcap="round"/>
                <v:imagedata o:title=""/>
                <o:lock v:ext="edit" aspectratio="f"/>
                <v:textbo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(附法人身份证正面扫描件)</w:t>
                      </w:r>
                    </w:p>
                  </w:txbxContent>
                </v:textbox>
              </v:roundrect>
            </w:pict>
          </mc:Fallback>
        </mc:AlternateContent>
      </w:r>
      <w:r>
        <w:rPr>
          <w:rFonts w:hint="eastAsia" w:ascii="宋体" w:hAnsi="宋体" w:eastAsia="宋体" w:cs="宋体"/>
          <w:color w:val="000000"/>
          <w:highlight w:val="none"/>
        </w:rPr>
        <mc:AlternateContent>
          <mc:Choice Requires="wps">
            <w:drawing>
              <wp:anchor distT="0" distB="0" distL="114300" distR="114300" simplePos="0" relativeHeight="251664384" behindDoc="0" locked="0" layoutInCell="1" allowOverlap="1">
                <wp:simplePos x="0" y="0"/>
                <wp:positionH relativeFrom="column">
                  <wp:posOffset>3157220</wp:posOffset>
                </wp:positionH>
                <wp:positionV relativeFrom="paragraph">
                  <wp:posOffset>1390015</wp:posOffset>
                </wp:positionV>
                <wp:extent cx="2709545" cy="1331595"/>
                <wp:effectExtent l="8255" t="7620" r="25400" b="13335"/>
                <wp:wrapNone/>
                <wp:docPr id="7" name="圆角矩形 7"/>
                <wp:cNvGraphicFramePr/>
                <a:graphic xmlns:a="http://schemas.openxmlformats.org/drawingml/2006/main">
                  <a:graphicData uri="http://schemas.microsoft.com/office/word/2010/wordprocessingShape">
                    <wps:wsp>
                      <wps:cNvSpPr/>
                      <wps:spPr>
                        <a:xfrm>
                          <a:off x="0" y="0"/>
                          <a:ext cx="2709545" cy="1331595"/>
                        </a:xfrm>
                        <a:prstGeom prst="roundRect">
                          <a:avLst>
                            <a:gd name="adj" fmla="val 16667"/>
                          </a:avLst>
                        </a:prstGeom>
                        <a:gradFill rotWithShape="0">
                          <a:gsLst>
                            <a:gs pos="0">
                              <a:srgbClr val="FFFFFF"/>
                            </a:gs>
                            <a:gs pos="100000">
                              <a:srgbClr val="FFFFFF"/>
                            </a:gs>
                          </a:gsLst>
                          <a:lin ang="0"/>
                          <a:tileRect/>
                        </a:gradFill>
                        <a:ln w="15875" cap="rnd" cmpd="sng">
                          <a:solidFill>
                            <a:srgbClr val="739CC3"/>
                          </a:solidFill>
                          <a:prstDash val="sysDot"/>
                          <a:headEnd type="none" w="med" len="med"/>
                          <a:tailEnd type="none" w="med" len="med"/>
                        </a:ln>
                        <a:effectLst/>
                      </wps:spPr>
                      <wps:txb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(附代理人身份证反面扫描件)</w:t>
                            </w:r>
                          </w:p>
                          <w:p>
                            <w:pPr>
                              <w:jc w:val="center"/>
                              <w:rPr>
                                <w:rFonts w:ascii="楷体" w:hAnsi="楷体" w:eastAsia="楷体" w:cs="Times New Roman"/>
                                <w:i/>
                              </w:rPr>
                            </w:pPr>
                          </w:p>
                        </w:txbxContent>
                      </wps:txbx>
                      <wps:bodyPr upright="1"/>
                    </wps:wsp>
                  </a:graphicData>
                </a:graphic>
              </wp:anchor>
            </w:drawing>
          </mc:Choice>
          <mc:Fallback>
            <w:pict>
              <v:roundrect id="_x0000_s1026" o:spid="_x0000_s1026" o:spt="2" style="position:absolute;left:0pt;margin-left:248.6pt;margin-top:109.45pt;height:104.85pt;width:213.35pt;z-index:251664384;mso-width-relative:page;mso-height-relative:page;" fillcolor="#FFFFFF" filled="t" stroked="t" coordsize="21600,21600" arcsize="0.166666666666667" o:gfxdata="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IBmetkAAAALAQAADwAAAAAAAAABACAAAAAiAAAAZHJzL2Rvd25yZXYueG1s&#10;UEsBAhQAFAAAAAgAh07iQJBG43xpAgAA7QQAAA4AAAAAAAAAAQAgAAAAKAEAAGRycy9lMm9Eb2Mu&#10;eG1sUEsFBgAAAAAGAAYAWQEAAAMGAAAAAA==&#10;">
                <v:fill type="gradient" on="t" color2="#FFFFFF" angle="90" focus="100%" focussize="0,0">
                  <o:fill type="gradientUnscaled" v:ext="backwardCompatible"/>
                </v:fill>
                <v:stroke weight="1.25pt" color="#739CC3" joinstyle="round" dashstyle="1 1" endcap="round"/>
                <v:imagedata o:title=""/>
                <o:lock v:ext="edit" aspectratio="f"/>
                <v:textbo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(附代理人身份证反面扫描件)</w:t>
                      </w:r>
                    </w:p>
                    <w:p>
                      <w:pPr>
                        <w:jc w:val="center"/>
                        <w:rPr>
                          <w:rFonts w:ascii="楷体" w:hAnsi="楷体" w:eastAsia="楷体" w:cs="Times New Roman"/>
                          <w:i/>
                        </w:rPr>
                      </w:pPr>
                    </w:p>
                  </w:txbxContent>
                </v:textbox>
              </v:roundrect>
            </w:pict>
          </mc:Fallback>
        </mc:AlternateContent>
      </w:r>
      <w:r>
        <w:rPr>
          <w:rFonts w:hint="eastAsia" w:ascii="宋体" w:hAnsi="宋体" w:eastAsia="宋体" w:cs="宋体"/>
          <w:color w:val="000000"/>
          <w:highlight w:val="none"/>
        </w:rPr>
        <mc:AlternateContent>
          <mc:Choice Requires="wps">
            <w:drawing>
              <wp:anchor distT="0" distB="0" distL="114300" distR="114300" simplePos="0" relativeHeight="251663360" behindDoc="0" locked="0" layoutInCell="1" allowOverlap="1">
                <wp:simplePos x="0" y="0"/>
                <wp:positionH relativeFrom="column">
                  <wp:posOffset>177800</wp:posOffset>
                </wp:positionH>
                <wp:positionV relativeFrom="paragraph">
                  <wp:posOffset>1390015</wp:posOffset>
                </wp:positionV>
                <wp:extent cx="2733675" cy="1331595"/>
                <wp:effectExtent l="8255" t="7620" r="20320" b="13335"/>
                <wp:wrapNone/>
                <wp:docPr id="8" name="圆角矩形 8"/>
                <wp:cNvGraphicFramePr/>
                <a:graphic xmlns:a="http://schemas.openxmlformats.org/drawingml/2006/main">
                  <a:graphicData uri="http://schemas.microsoft.com/office/word/2010/wordprocessingShape">
                    <wps:wsp>
                      <wps:cNvSpPr/>
                      <wps:spPr>
                        <a:xfrm>
                          <a:off x="0" y="0"/>
                          <a:ext cx="2733675" cy="1331595"/>
                        </a:xfrm>
                        <a:prstGeom prst="roundRect">
                          <a:avLst>
                            <a:gd name="adj" fmla="val 16667"/>
                          </a:avLst>
                        </a:prstGeom>
                        <a:gradFill rotWithShape="0">
                          <a:gsLst>
                            <a:gs pos="0">
                              <a:srgbClr val="FFFFFF"/>
                            </a:gs>
                            <a:gs pos="100000">
                              <a:srgbClr val="FFFFFF"/>
                            </a:gs>
                          </a:gsLst>
                          <a:lin ang="0"/>
                          <a:tileRect/>
                        </a:gradFill>
                        <a:ln w="15875" cap="rnd" cmpd="sng">
                          <a:solidFill>
                            <a:srgbClr val="739CC3"/>
                          </a:solidFill>
                          <a:prstDash val="sysDot"/>
                          <a:headEnd type="none" w="med" len="med"/>
                          <a:tailEnd type="none" w="med" len="med"/>
                        </a:ln>
                        <a:effectLst/>
                      </wps:spPr>
                      <wps:txb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(附代理人身份证正面扫描件)</w:t>
                            </w:r>
                          </w:p>
                          <w:p>
                            <w:pPr>
                              <w:rPr>
                                <w:rFonts w:ascii="Times New Roman" w:hAnsi="Times New Roman" w:eastAsia="宋体" w:cs="Times New Roman"/>
                              </w:rPr>
                            </w:pPr>
                          </w:p>
                        </w:txbxContent>
                      </wps:txbx>
                      <wps:bodyPr upright="1"/>
                    </wps:wsp>
                  </a:graphicData>
                </a:graphic>
              </wp:anchor>
            </w:drawing>
          </mc:Choice>
          <mc:Fallback>
            <w:pict>
              <v:roundrect id="_x0000_s1026" o:spid="_x0000_s1026" o:spt="2" style="position:absolute;left:0pt;margin-left:14pt;margin-top:109.45pt;height:104.85pt;width:215.25pt;z-index:251663360;mso-width-relative:page;mso-height-relative:page;" fillcolor="#FFFFFF" filled="t" stroked="t" coordsize="21600,21600" arcsize="0.166666666666667" o:gfxdata="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L2rD62gAAAAoBAAAPAAAAAAAAAAEAIAAAACIAAABkcnMvZG93bnJldi54bWxQ&#10;SwECFAAUAAAACACHTuJA6+IYI2cCAADtBAAADgAAAAAAAAABACAAAAApAQAAZHJzL2Uyb0RvYy54&#10;bWxQSwUGAAAAAAYABgBZAQAAAgYAAAAA&#10;">
                <v:fill type="gradient" on="t" color2="#FFFFFF" angle="90" focus="100%" focussize="0,0">
                  <o:fill type="gradientUnscaled" v:ext="backwardCompatible"/>
                </v:fill>
                <v:stroke weight="1.25pt" color="#739CC3" joinstyle="round" dashstyle="1 1" endcap="round"/>
                <v:imagedata o:title=""/>
                <o:lock v:ext="edit" aspectratio="f"/>
                <v:textbox>
                  <w:txbxContent>
                    <w:p>
                      <w:pPr>
                        <w:jc w:val="center"/>
                        <w:rPr>
                          <w:rFonts w:hint="eastAsia" w:ascii="楷体" w:hAnsi="楷体" w:eastAsia="楷体" w:cs="Times New Roman"/>
                          <w:i/>
                        </w:rPr>
                      </w:pPr>
                    </w:p>
                    <w:p>
                      <w:pPr>
                        <w:jc w:val="center"/>
                        <w:rPr>
                          <w:rFonts w:ascii="楷体" w:hAnsi="楷体" w:eastAsia="楷体" w:cs="Times New Roman"/>
                          <w:i/>
                        </w:rPr>
                      </w:pPr>
                      <w:r>
                        <w:rPr>
                          <w:rFonts w:hint="eastAsia" w:ascii="楷体" w:hAnsi="楷体" w:eastAsia="楷体" w:cs="Times New Roman"/>
                          <w:i/>
                        </w:rPr>
                        <w:t>(附代理人身份证正面扫描件)</w:t>
                      </w:r>
                    </w:p>
                    <w:p>
                      <w:pPr>
                        <w:rPr>
                          <w:rFonts w:ascii="Times New Roman" w:hAnsi="Times New Roman" w:eastAsia="宋体" w:cs="Times New Roman"/>
                        </w:rPr>
                      </w:pPr>
                    </w:p>
                  </w:txbxContent>
                </v:textbox>
              </v:roundrect>
            </w:pict>
          </mc:Fallback>
        </mc:AlternateContent>
      </w: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ind w:left="720"/>
        <w:rPr>
          <w:rFonts w:hint="eastAsia" w:ascii="宋体" w:hAnsi="宋体" w:eastAsia="宋体" w:cs="宋体"/>
          <w:color w:val="000000"/>
          <w:highlight w:val="none"/>
        </w:rPr>
      </w:pPr>
    </w:p>
    <w:p>
      <w:pPr>
        <w:spacing w:line="360" w:lineRule="auto"/>
        <w:rPr>
          <w:rFonts w:hint="eastAsia" w:ascii="宋体" w:hAnsi="宋体" w:eastAsia="宋体" w:cs="宋体"/>
          <w:color w:val="000000"/>
          <w:highlight w:val="none"/>
        </w:rPr>
      </w:pPr>
    </w:p>
    <w:p>
      <w:pPr>
        <w:ind w:firstLine="735" w:firstLineChars="3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供应商：____________________________________（盖单位公章）</w:t>
      </w:r>
    </w:p>
    <w:p>
      <w:pPr>
        <w:rPr>
          <w:rFonts w:ascii="Times New Roman" w:hAnsi="Times New Roman" w:eastAsia="宋体" w:cs="Times New Roman"/>
          <w:szCs w:val="21"/>
          <w:highlight w:val="none"/>
        </w:rPr>
      </w:pPr>
    </w:p>
    <w:p>
      <w:pPr>
        <w:ind w:firstLine="735" w:firstLineChars="35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法定代表人：________________（签字）</w:t>
      </w:r>
    </w:p>
    <w:p>
      <w:pPr>
        <w:ind w:firstLine="3570" w:firstLineChars="1700"/>
        <w:rPr>
          <w:rFonts w:ascii="Times New Roman" w:hAnsi="Times New Roman" w:eastAsia="宋体" w:cs="Times New Roman"/>
          <w:szCs w:val="21"/>
          <w:highlight w:val="none"/>
        </w:rPr>
      </w:pPr>
    </w:p>
    <w:p>
      <w:pPr>
        <w:ind w:firstLine="735" w:firstLineChars="3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身份证号码：________________</w:t>
      </w:r>
    </w:p>
    <w:p>
      <w:pPr>
        <w:spacing w:line="360" w:lineRule="auto"/>
        <w:rPr>
          <w:rFonts w:hint="eastAsia" w:ascii="宋体" w:hAnsi="宋体" w:eastAsia="宋体" w:cs="宋体"/>
          <w:color w:val="000000"/>
          <w:highlight w:val="none"/>
        </w:rPr>
      </w:pPr>
    </w:p>
    <w:p>
      <w:pPr>
        <w:ind w:firstLine="735" w:firstLineChars="35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委托代理人：________________（签字）</w:t>
      </w:r>
    </w:p>
    <w:p>
      <w:pPr>
        <w:ind w:firstLine="3570" w:firstLineChars="1700"/>
        <w:rPr>
          <w:rFonts w:ascii="Times New Roman" w:hAnsi="Times New Roman" w:eastAsia="宋体" w:cs="Times New Roman"/>
          <w:szCs w:val="21"/>
          <w:highlight w:val="none"/>
        </w:rPr>
      </w:pPr>
    </w:p>
    <w:p>
      <w:pPr>
        <w:ind w:firstLine="735" w:firstLineChars="3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身份证号码：________________</w:t>
      </w:r>
    </w:p>
    <w:p>
      <w:pPr>
        <w:ind w:firstLine="735" w:firstLineChars="350"/>
        <w:rPr>
          <w:rFonts w:hint="eastAsia" w:ascii="Times New Roman" w:hAnsi="Times New Roman" w:eastAsia="宋体" w:cs="Times New Roman"/>
          <w:szCs w:val="21"/>
          <w:highlight w:val="none"/>
        </w:rPr>
      </w:pPr>
    </w:p>
    <w:p>
      <w:pPr>
        <w:ind w:firstLine="735" w:firstLineChars="3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联系电话：________________</w:t>
      </w:r>
    </w:p>
    <w:p>
      <w:pPr>
        <w:spacing w:line="360" w:lineRule="auto"/>
        <w:rPr>
          <w:rFonts w:hint="eastAsia" w:ascii="宋体" w:hAnsi="宋体" w:eastAsia="宋体" w:cs="宋体"/>
          <w:color w:val="000000"/>
          <w:highlight w:val="none"/>
        </w:rPr>
      </w:pPr>
    </w:p>
    <w:p>
      <w:pPr>
        <w:spacing w:line="360" w:lineRule="auto"/>
        <w:ind w:firstLine="482" w:firstLineChars="200"/>
        <w:rPr>
          <w:rFonts w:hint="eastAsia" w:ascii="Times New Roman" w:hAnsi="Times New Roman" w:eastAsia="宋体" w:cs="Times New Roman"/>
          <w:b/>
          <w:sz w:val="24"/>
          <w:highlight w:val="none"/>
          <w:lang w:eastAsia="zh-CN"/>
        </w:rPr>
        <w:sectPr>
          <w:pgSz w:w="11906" w:h="16838"/>
          <w:pgMar w:top="1701" w:right="1587" w:bottom="1474" w:left="1587" w:header="851" w:footer="992" w:gutter="0"/>
          <w:pgNumType w:fmt="decimal"/>
          <w:cols w:space="0" w:num="1"/>
          <w:rtlGutter w:val="0"/>
          <w:docGrid w:type="lines" w:linePitch="325" w:charSpace="0"/>
        </w:sectPr>
      </w:pPr>
      <w:r>
        <w:rPr>
          <w:rFonts w:hint="eastAsia" w:ascii="Times New Roman" w:hAnsi="Times New Roman" w:eastAsia="宋体" w:cs="Times New Roman"/>
          <w:b/>
          <w:sz w:val="24"/>
          <w:highlight w:val="none"/>
        </w:rPr>
        <w:t>（注：法定代表人自行办理获取</w:t>
      </w:r>
      <w:r>
        <w:rPr>
          <w:rFonts w:hint="eastAsia" w:cs="Times New Roman"/>
          <w:b/>
          <w:sz w:val="24"/>
          <w:highlight w:val="none"/>
          <w:lang w:val="en-US" w:eastAsia="zh-CN"/>
        </w:rPr>
        <w:t>采购</w:t>
      </w:r>
      <w:r>
        <w:rPr>
          <w:rFonts w:hint="eastAsia" w:ascii="Times New Roman" w:hAnsi="Times New Roman" w:eastAsia="宋体" w:cs="Times New Roman"/>
          <w:b/>
          <w:sz w:val="24"/>
          <w:highlight w:val="none"/>
        </w:rPr>
        <w:t>文件事宜的无需授权委托书</w:t>
      </w:r>
      <w:r>
        <w:rPr>
          <w:rFonts w:hint="eastAsia" w:ascii="Times New Roman" w:hAnsi="Times New Roman" w:eastAsia="宋体" w:cs="Times New Roman"/>
          <w:b/>
          <w:sz w:val="24"/>
          <w:highlight w:val="none"/>
          <w:lang w:eastAsia="zh-CN"/>
        </w:rPr>
        <w:t>）</w:t>
      </w:r>
    </w:p>
    <w:p>
      <w:pPr>
        <w:spacing w:after="160" w:line="259" w:lineRule="auto"/>
        <w:jc w:val="center"/>
        <w:rPr>
          <w:rFonts w:hint="default" w:ascii="Times New Roman" w:hAnsi="Times New Roman" w:eastAsia="宋体" w:cs="Times New Roman"/>
          <w:b/>
          <w:sz w:val="21"/>
          <w:szCs w:val="21"/>
          <w:highlight w:val="none"/>
          <w:lang w:val="en-US" w:eastAsia="zh-CN"/>
        </w:rPr>
      </w:pPr>
      <w:r>
        <w:rPr>
          <w:rFonts w:hint="default" w:ascii="Times New Roman" w:hAnsi="Times New Roman" w:eastAsia="宋体" w:cs="Times New Roman"/>
          <w:b/>
          <w:sz w:val="48"/>
          <w:szCs w:val="48"/>
          <w:highlight w:val="none"/>
          <w:lang w:val="en-US" w:eastAsia="zh-CN"/>
        </w:rPr>
        <w:t>开  票  函</w:t>
      </w:r>
      <w:r>
        <w:rPr>
          <w:rFonts w:hint="eastAsia" w:cs="Times New Roman"/>
          <w:b/>
          <w:sz w:val="21"/>
          <w:szCs w:val="21"/>
          <w:highlight w:val="none"/>
          <w:lang w:val="en-US" w:eastAsia="zh-CN"/>
        </w:rPr>
        <w:t>（盖章签字的扫描件）</w:t>
      </w:r>
    </w:p>
    <w:p>
      <w:pPr>
        <w:spacing w:after="160" w:line="500" w:lineRule="exac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采购中心：</w:t>
      </w:r>
    </w:p>
    <w:p>
      <w:pPr>
        <w:spacing w:after="160" w:line="500" w:lineRule="exact"/>
        <w:ind w:firstLine="600" w:firstLineChars="200"/>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202</w:t>
      </w:r>
      <w:r>
        <w:rPr>
          <w:rFonts w:hint="eastAsia" w:cs="Times New Roman"/>
          <w:sz w:val="30"/>
          <w:szCs w:val="30"/>
          <w:highlight w:val="none"/>
          <w:lang w:val="en-US" w:eastAsia="zh-CN"/>
        </w:rPr>
        <w:t>5</w:t>
      </w:r>
      <w:r>
        <w:rPr>
          <w:rFonts w:hint="default" w:ascii="Times New Roman" w:hAnsi="Times New Roman" w:eastAsia="宋体" w:cs="Times New Roman"/>
          <w:sz w:val="30"/>
          <w:szCs w:val="30"/>
          <w:highlight w:val="none"/>
          <w:lang w:val="en-US" w:eastAsia="zh-CN"/>
        </w:rPr>
        <w:t>年  月购买资料费（项目</w:t>
      </w:r>
      <w:r>
        <w:rPr>
          <w:rFonts w:hint="eastAsia" w:cs="Times New Roman"/>
          <w:sz w:val="30"/>
          <w:szCs w:val="30"/>
          <w:highlight w:val="none"/>
          <w:lang w:val="en-US" w:eastAsia="zh-CN"/>
        </w:rPr>
        <w:t>编号、项目</w:t>
      </w:r>
      <w:r>
        <w:rPr>
          <w:rFonts w:hint="default" w:ascii="Times New Roman" w:hAnsi="Times New Roman" w:eastAsia="宋体" w:cs="Times New Roman"/>
          <w:sz w:val="30"/>
          <w:szCs w:val="30"/>
          <w:highlight w:val="none"/>
          <w:lang w:val="en-US" w:eastAsia="zh-CN"/>
        </w:rPr>
        <w:t>名称：                ），总金额为200元（含税金额）。</w:t>
      </w:r>
    </w:p>
    <w:p>
      <w:pPr>
        <w:spacing w:after="160" w:line="500" w:lineRule="exact"/>
        <w:ind w:firstLine="600" w:firstLineChars="200"/>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 xml:space="preserve">我公司要求开具资料费 </w:t>
      </w:r>
      <w:r>
        <w:rPr>
          <w:rFonts w:hint="default" w:ascii="Times New Roman" w:hAnsi="Times New Roman" w:eastAsia="宋体" w:cs="Times New Roman"/>
          <w:sz w:val="30"/>
          <w:szCs w:val="30"/>
          <w:highlight w:val="none"/>
          <w:lang w:val="en-US" w:eastAsia="zh-CN"/>
        </w:rPr>
        <w:sym w:font="Wingdings" w:char="00A8"/>
      </w:r>
      <w:r>
        <w:rPr>
          <w:rFonts w:hint="default" w:ascii="Times New Roman" w:hAnsi="Times New Roman" w:eastAsia="宋体" w:cs="Times New Roman"/>
          <w:sz w:val="30"/>
          <w:szCs w:val="30"/>
          <w:highlight w:val="none"/>
          <w:lang w:val="en-US" w:eastAsia="zh-CN"/>
        </w:rPr>
        <w:t>增值税专用/</w:t>
      </w:r>
      <w:r>
        <w:rPr>
          <w:rFonts w:hint="default" w:ascii="Times New Roman" w:hAnsi="Times New Roman" w:eastAsia="宋体" w:cs="Times New Roman"/>
          <w:sz w:val="30"/>
          <w:szCs w:val="30"/>
          <w:highlight w:val="none"/>
          <w:lang w:val="en-US" w:eastAsia="zh-CN"/>
        </w:rPr>
        <w:sym w:font="Wingdings" w:char="00A8"/>
      </w:r>
      <w:r>
        <w:rPr>
          <w:rFonts w:hint="default" w:ascii="Times New Roman" w:hAnsi="Times New Roman" w:eastAsia="宋体" w:cs="Times New Roman"/>
          <w:sz w:val="30"/>
          <w:szCs w:val="30"/>
          <w:highlight w:val="none"/>
          <w:lang w:val="en-US" w:eastAsia="zh-CN"/>
        </w:rPr>
        <w:t>增值税普通（请在需求发票类别前打“√”） 发票，详细信息如下：</w:t>
      </w:r>
    </w:p>
    <w:p>
      <w:pPr>
        <w:spacing w:after="160" w:line="500" w:lineRule="exac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1）发票开据单位名称：</w:t>
      </w:r>
    </w:p>
    <w:p>
      <w:pPr>
        <w:spacing w:after="160" w:line="500" w:lineRule="exac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2）纳税人识别号：</w:t>
      </w:r>
    </w:p>
    <w:p>
      <w:pPr>
        <w:spacing w:after="160" w:line="500" w:lineRule="exac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 xml:space="preserve">3）地址、电话： </w:t>
      </w:r>
    </w:p>
    <w:p>
      <w:pPr>
        <w:spacing w:after="160" w:line="500" w:lineRule="exac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4)开户银行名称：</w:t>
      </w:r>
    </w:p>
    <w:p>
      <w:pPr>
        <w:spacing w:after="160" w:line="500" w:lineRule="exac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5）开户行账号：</w:t>
      </w:r>
    </w:p>
    <w:p>
      <w:pPr>
        <w:spacing w:after="160" w:line="500" w:lineRule="exac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6）项目编号：</w:t>
      </w:r>
    </w:p>
    <w:p>
      <w:pPr>
        <w:spacing w:after="160" w:line="500" w:lineRule="exac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 xml:space="preserve">7）电子发票接收电子邮箱:  </w:t>
      </w:r>
    </w:p>
    <w:p>
      <w:pPr>
        <w:spacing w:after="160" w:line="500" w:lineRule="exact"/>
        <w:rPr>
          <w:rFonts w:hint="default" w:ascii="Times New Roman" w:hAnsi="Times New Roman" w:eastAsia="宋体" w:cs="Times New Roman"/>
          <w:sz w:val="30"/>
          <w:szCs w:val="30"/>
          <w:highlight w:val="none"/>
          <w:lang w:val="en-US" w:eastAsia="zh-CN"/>
        </w:rPr>
      </w:pPr>
    </w:p>
    <w:p>
      <w:pPr>
        <w:spacing w:after="160" w:line="500" w:lineRule="exact"/>
        <w:jc w:val="center"/>
        <w:rPr>
          <w:rFonts w:hint="default" w:ascii="Times New Roman" w:hAnsi="Times New Roman" w:eastAsia="宋体" w:cs="Times New Roman"/>
          <w:sz w:val="30"/>
          <w:szCs w:val="30"/>
          <w:highlight w:val="none"/>
          <w:lang w:val="en-US" w:eastAsia="zh-CN"/>
        </w:rPr>
      </w:pPr>
      <w:r>
        <w:rPr>
          <w:rFonts w:hint="eastAsia" w:cs="Times New Roman"/>
          <w:sz w:val="30"/>
          <w:szCs w:val="30"/>
          <w:highlight w:val="none"/>
          <w:lang w:val="en-US" w:eastAsia="zh-CN"/>
        </w:rPr>
        <w:t xml:space="preserve">                                  </w:t>
      </w:r>
      <w:r>
        <w:rPr>
          <w:rFonts w:hint="default" w:ascii="Times New Roman" w:hAnsi="Times New Roman" w:eastAsia="宋体" w:cs="Times New Roman"/>
          <w:sz w:val="30"/>
          <w:szCs w:val="30"/>
          <w:highlight w:val="none"/>
          <w:lang w:val="en-US" w:eastAsia="zh-CN"/>
        </w:rPr>
        <w:t xml:space="preserve">单  位（盖章）：    </w:t>
      </w:r>
    </w:p>
    <w:p>
      <w:pPr>
        <w:spacing w:after="160" w:line="500" w:lineRule="exact"/>
        <w:jc w:val="right"/>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财务负责人（签章）：</w:t>
      </w:r>
    </w:p>
    <w:p>
      <w:pPr>
        <w:spacing w:after="160" w:line="500" w:lineRule="exact"/>
        <w:jc w:val="center"/>
        <w:rPr>
          <w:rFonts w:hint="default" w:ascii="Times New Roman" w:hAnsi="Times New Roman" w:eastAsia="宋体" w:cs="Times New Roman"/>
          <w:sz w:val="30"/>
          <w:szCs w:val="30"/>
          <w:highlight w:val="none"/>
          <w:lang w:val="en-US" w:eastAsia="zh-CN"/>
        </w:rPr>
      </w:pPr>
      <w:r>
        <w:rPr>
          <w:rFonts w:hint="eastAsia" w:cs="Times New Roman"/>
          <w:sz w:val="30"/>
          <w:szCs w:val="30"/>
          <w:highlight w:val="none"/>
          <w:lang w:val="en-US" w:eastAsia="zh-CN"/>
        </w:rPr>
        <w:t xml:space="preserve">                                  </w:t>
      </w:r>
      <w:r>
        <w:rPr>
          <w:rFonts w:hint="default" w:ascii="Times New Roman" w:hAnsi="Times New Roman" w:eastAsia="宋体" w:cs="Times New Roman"/>
          <w:sz w:val="30"/>
          <w:szCs w:val="30"/>
          <w:highlight w:val="none"/>
          <w:lang w:val="en-US" w:eastAsia="zh-CN"/>
        </w:rPr>
        <w:t>核对人（签章）：</w:t>
      </w:r>
    </w:p>
    <w:p>
      <w:pPr>
        <w:spacing w:after="160" w:line="500" w:lineRule="exact"/>
        <w:jc w:val="center"/>
        <w:rPr>
          <w:rFonts w:hint="default" w:ascii="Times New Roman" w:hAnsi="Times New Roman" w:eastAsia="宋体" w:cs="Times New Roman"/>
          <w:sz w:val="30"/>
          <w:szCs w:val="30"/>
          <w:highlight w:val="none"/>
          <w:lang w:val="en-US" w:eastAsia="zh-CN"/>
        </w:rPr>
      </w:pPr>
      <w:r>
        <w:rPr>
          <w:rFonts w:hint="eastAsia" w:cs="Times New Roman"/>
          <w:sz w:val="30"/>
          <w:szCs w:val="30"/>
          <w:highlight w:val="none"/>
          <w:lang w:val="en-US" w:eastAsia="zh-CN"/>
        </w:rPr>
        <w:t xml:space="preserve">                                  </w:t>
      </w:r>
      <w:r>
        <w:rPr>
          <w:rFonts w:hint="default" w:ascii="Times New Roman" w:hAnsi="Times New Roman" w:eastAsia="宋体" w:cs="Times New Roman"/>
          <w:sz w:val="30"/>
          <w:szCs w:val="30"/>
          <w:highlight w:val="none"/>
          <w:lang w:val="en-US" w:eastAsia="zh-CN"/>
        </w:rPr>
        <w:t>202</w:t>
      </w:r>
      <w:r>
        <w:rPr>
          <w:rFonts w:hint="eastAsia" w:cs="Times New Roman"/>
          <w:sz w:val="30"/>
          <w:szCs w:val="30"/>
          <w:highlight w:val="none"/>
          <w:lang w:val="en-US" w:eastAsia="zh-CN"/>
        </w:rPr>
        <w:t>5</w:t>
      </w:r>
      <w:r>
        <w:rPr>
          <w:rFonts w:hint="default" w:ascii="Times New Roman" w:hAnsi="Times New Roman" w:eastAsia="宋体" w:cs="Times New Roman"/>
          <w:sz w:val="30"/>
          <w:szCs w:val="30"/>
          <w:highlight w:val="none"/>
          <w:lang w:val="en-US" w:eastAsia="zh-CN"/>
        </w:rPr>
        <w:t>年  月   日</w:t>
      </w:r>
    </w:p>
    <w:p>
      <w:pPr>
        <w:pStyle w:val="7"/>
        <w:rPr>
          <w:rFonts w:hint="default" w:ascii="Times New Roman" w:hAnsi="Times New Roman" w:eastAsia="宋体" w:cs="Times New Roman"/>
          <w:b w:val="0"/>
          <w:kern w:val="2"/>
          <w:sz w:val="21"/>
          <w:szCs w:val="24"/>
          <w:highlight w:val="none"/>
          <w:lang w:val="en-US" w:eastAsia="zh-CN" w:bidi="ar-SA"/>
        </w:rPr>
      </w:pPr>
      <w:r>
        <w:rPr>
          <w:rFonts w:hint="default" w:ascii="Times New Roman" w:hAnsi="Times New Roman" w:eastAsia="宋体" w:cs="Times New Roman"/>
          <w:b w:val="0"/>
          <w:kern w:val="2"/>
          <w:sz w:val="21"/>
          <w:szCs w:val="24"/>
          <w:highlight w:val="none"/>
          <w:lang w:val="en-US" w:eastAsia="zh-CN" w:bidi="ar-SA"/>
        </w:rPr>
        <w:t>备注：我单位开具的“资料费”发票为电子发票，发票开好后</w:t>
      </w:r>
      <w:r>
        <w:rPr>
          <w:rFonts w:hint="eastAsia" w:cs="Times New Roman"/>
          <w:b w:val="0"/>
          <w:kern w:val="2"/>
          <w:sz w:val="21"/>
          <w:szCs w:val="24"/>
          <w:highlight w:val="none"/>
          <w:lang w:val="en-US" w:eastAsia="zh-CN" w:bidi="ar-SA"/>
        </w:rPr>
        <w:t>智慧平台</w:t>
      </w:r>
      <w:r>
        <w:rPr>
          <w:rFonts w:hint="default" w:ascii="Times New Roman" w:hAnsi="Times New Roman" w:eastAsia="宋体" w:cs="Times New Roman"/>
          <w:b w:val="0"/>
          <w:kern w:val="2"/>
          <w:sz w:val="21"/>
          <w:szCs w:val="24"/>
          <w:highlight w:val="none"/>
          <w:lang w:val="en-US" w:eastAsia="zh-CN" w:bidi="ar-SA"/>
        </w:rPr>
        <w:t>将</w:t>
      </w:r>
      <w:r>
        <w:rPr>
          <w:rFonts w:hint="eastAsia" w:cs="Times New Roman"/>
          <w:b w:val="0"/>
          <w:kern w:val="2"/>
          <w:sz w:val="21"/>
          <w:szCs w:val="24"/>
          <w:highlight w:val="none"/>
          <w:lang w:val="en-US" w:eastAsia="zh-CN" w:bidi="ar-SA"/>
        </w:rPr>
        <w:t>自动</w:t>
      </w:r>
      <w:r>
        <w:rPr>
          <w:rFonts w:hint="default" w:ascii="Times New Roman" w:hAnsi="Times New Roman" w:eastAsia="宋体" w:cs="Times New Roman"/>
          <w:b w:val="0"/>
          <w:kern w:val="2"/>
          <w:sz w:val="21"/>
          <w:szCs w:val="24"/>
          <w:highlight w:val="none"/>
          <w:lang w:val="en-US" w:eastAsia="zh-CN" w:bidi="ar-SA"/>
        </w:rPr>
        <w:t>发送邮箱，请供应商收到发票后及时认证抵扣。</w:t>
      </w:r>
    </w:p>
    <w:sectPr>
      <w:pgSz w:w="11906" w:h="16838"/>
      <w:pgMar w:top="1701" w:right="1587" w:bottom="1474" w:left="1587"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宋黑简体">
    <w:altName w:val="宋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D93A5"/>
    <w:multiLevelType w:val="singleLevel"/>
    <w:tmpl w:val="8F6D93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Dk1MTliYWFmMDgwZTk4NGUzMWY1ZjdjOGYwYmUifQ=="/>
  </w:docVars>
  <w:rsids>
    <w:rsidRoot w:val="00172A27"/>
    <w:rsid w:val="00E87B6C"/>
    <w:rsid w:val="0122587F"/>
    <w:rsid w:val="013E0D8E"/>
    <w:rsid w:val="014B17FD"/>
    <w:rsid w:val="01805112"/>
    <w:rsid w:val="018E1CDD"/>
    <w:rsid w:val="022331C3"/>
    <w:rsid w:val="03361E7B"/>
    <w:rsid w:val="036938C1"/>
    <w:rsid w:val="040B225E"/>
    <w:rsid w:val="041673E1"/>
    <w:rsid w:val="055610B0"/>
    <w:rsid w:val="057276EA"/>
    <w:rsid w:val="06357DFE"/>
    <w:rsid w:val="0867319E"/>
    <w:rsid w:val="08B331FD"/>
    <w:rsid w:val="08ED49F5"/>
    <w:rsid w:val="0918379D"/>
    <w:rsid w:val="095A466A"/>
    <w:rsid w:val="09B1630C"/>
    <w:rsid w:val="0A7208AE"/>
    <w:rsid w:val="0B183D12"/>
    <w:rsid w:val="0B510346"/>
    <w:rsid w:val="0B8E7747"/>
    <w:rsid w:val="0BD81BC3"/>
    <w:rsid w:val="0C264F32"/>
    <w:rsid w:val="0C4B2421"/>
    <w:rsid w:val="0C5A0478"/>
    <w:rsid w:val="0C5C6C53"/>
    <w:rsid w:val="0CDB5021"/>
    <w:rsid w:val="0D5C2CA7"/>
    <w:rsid w:val="0DA93C54"/>
    <w:rsid w:val="0E191F88"/>
    <w:rsid w:val="0E3D5069"/>
    <w:rsid w:val="0F0526A1"/>
    <w:rsid w:val="0FA215A9"/>
    <w:rsid w:val="0FB60C40"/>
    <w:rsid w:val="0FD66D2E"/>
    <w:rsid w:val="0FE7113C"/>
    <w:rsid w:val="0FF37E6C"/>
    <w:rsid w:val="10D42250"/>
    <w:rsid w:val="10EC15AB"/>
    <w:rsid w:val="11FB3C51"/>
    <w:rsid w:val="12375C04"/>
    <w:rsid w:val="124B173C"/>
    <w:rsid w:val="125C1216"/>
    <w:rsid w:val="12607BE9"/>
    <w:rsid w:val="12A116C9"/>
    <w:rsid w:val="130465CE"/>
    <w:rsid w:val="136538E6"/>
    <w:rsid w:val="139035CA"/>
    <w:rsid w:val="1421158D"/>
    <w:rsid w:val="147C0EF7"/>
    <w:rsid w:val="14B443AA"/>
    <w:rsid w:val="14C96C67"/>
    <w:rsid w:val="14D0509C"/>
    <w:rsid w:val="15326824"/>
    <w:rsid w:val="15F651A0"/>
    <w:rsid w:val="16011C7D"/>
    <w:rsid w:val="16961BF4"/>
    <w:rsid w:val="16AF701D"/>
    <w:rsid w:val="1777587F"/>
    <w:rsid w:val="179D2B50"/>
    <w:rsid w:val="17B21B80"/>
    <w:rsid w:val="17BC4FF1"/>
    <w:rsid w:val="17BF0024"/>
    <w:rsid w:val="18531913"/>
    <w:rsid w:val="18C37EB3"/>
    <w:rsid w:val="19064822"/>
    <w:rsid w:val="1913557A"/>
    <w:rsid w:val="19173DC9"/>
    <w:rsid w:val="198D4F90"/>
    <w:rsid w:val="19B5410B"/>
    <w:rsid w:val="19CD2052"/>
    <w:rsid w:val="19D753C1"/>
    <w:rsid w:val="1B213D83"/>
    <w:rsid w:val="1BFB26A2"/>
    <w:rsid w:val="1BFD08AE"/>
    <w:rsid w:val="1C147CE4"/>
    <w:rsid w:val="1C2B4F7C"/>
    <w:rsid w:val="1D3050D7"/>
    <w:rsid w:val="1D7729CD"/>
    <w:rsid w:val="1E07339D"/>
    <w:rsid w:val="1E5E6B97"/>
    <w:rsid w:val="1EBE65D8"/>
    <w:rsid w:val="1EF67138"/>
    <w:rsid w:val="1F4A7F4C"/>
    <w:rsid w:val="20290B0C"/>
    <w:rsid w:val="20354384"/>
    <w:rsid w:val="206E5AAB"/>
    <w:rsid w:val="214878E6"/>
    <w:rsid w:val="218718CC"/>
    <w:rsid w:val="223A6BE9"/>
    <w:rsid w:val="225D432F"/>
    <w:rsid w:val="22C97BC9"/>
    <w:rsid w:val="23A818F1"/>
    <w:rsid w:val="240F1709"/>
    <w:rsid w:val="246524F9"/>
    <w:rsid w:val="246B18D2"/>
    <w:rsid w:val="24F35E43"/>
    <w:rsid w:val="2590124E"/>
    <w:rsid w:val="2637307C"/>
    <w:rsid w:val="269F74E8"/>
    <w:rsid w:val="26E054C2"/>
    <w:rsid w:val="27A604AB"/>
    <w:rsid w:val="287C32CC"/>
    <w:rsid w:val="28DC0C29"/>
    <w:rsid w:val="28DF7DF7"/>
    <w:rsid w:val="29471828"/>
    <w:rsid w:val="2949485D"/>
    <w:rsid w:val="29876034"/>
    <w:rsid w:val="29B4532D"/>
    <w:rsid w:val="29F47B9E"/>
    <w:rsid w:val="2A9D224C"/>
    <w:rsid w:val="2AB673AB"/>
    <w:rsid w:val="2BEA293F"/>
    <w:rsid w:val="2D605533"/>
    <w:rsid w:val="2DB92FEF"/>
    <w:rsid w:val="2E152816"/>
    <w:rsid w:val="2EC25B94"/>
    <w:rsid w:val="2ECE62B9"/>
    <w:rsid w:val="2EF07726"/>
    <w:rsid w:val="2F180F24"/>
    <w:rsid w:val="2F2D4572"/>
    <w:rsid w:val="30395908"/>
    <w:rsid w:val="31671DCA"/>
    <w:rsid w:val="31745184"/>
    <w:rsid w:val="329E6BAC"/>
    <w:rsid w:val="33ED6B47"/>
    <w:rsid w:val="35610F2B"/>
    <w:rsid w:val="35913ADE"/>
    <w:rsid w:val="35A57DB5"/>
    <w:rsid w:val="363C44CF"/>
    <w:rsid w:val="37737516"/>
    <w:rsid w:val="37B84F24"/>
    <w:rsid w:val="38893F05"/>
    <w:rsid w:val="388A4E5D"/>
    <w:rsid w:val="38A04330"/>
    <w:rsid w:val="38A6067C"/>
    <w:rsid w:val="38B6657A"/>
    <w:rsid w:val="3943252A"/>
    <w:rsid w:val="39E416B7"/>
    <w:rsid w:val="39FA203C"/>
    <w:rsid w:val="39FE0ADB"/>
    <w:rsid w:val="3ABC2C81"/>
    <w:rsid w:val="3B4B5104"/>
    <w:rsid w:val="3B671D49"/>
    <w:rsid w:val="3BD827B4"/>
    <w:rsid w:val="3C92620F"/>
    <w:rsid w:val="3CF45623"/>
    <w:rsid w:val="3D532355"/>
    <w:rsid w:val="3D767FE9"/>
    <w:rsid w:val="3D794153"/>
    <w:rsid w:val="3D7A4F81"/>
    <w:rsid w:val="3DE729A3"/>
    <w:rsid w:val="3E0F5942"/>
    <w:rsid w:val="3EC4473E"/>
    <w:rsid w:val="3EEA3F75"/>
    <w:rsid w:val="3F324536"/>
    <w:rsid w:val="3F7E5884"/>
    <w:rsid w:val="3FA52BFA"/>
    <w:rsid w:val="3FD460C3"/>
    <w:rsid w:val="3FE66525"/>
    <w:rsid w:val="40AA0E48"/>
    <w:rsid w:val="4188269E"/>
    <w:rsid w:val="41955807"/>
    <w:rsid w:val="41FF4F3E"/>
    <w:rsid w:val="42477FE8"/>
    <w:rsid w:val="43325C28"/>
    <w:rsid w:val="43B11829"/>
    <w:rsid w:val="44E91FD5"/>
    <w:rsid w:val="452E34DD"/>
    <w:rsid w:val="457B78FE"/>
    <w:rsid w:val="45AA1229"/>
    <w:rsid w:val="465157CA"/>
    <w:rsid w:val="469D2B56"/>
    <w:rsid w:val="46C42486"/>
    <w:rsid w:val="46DF3927"/>
    <w:rsid w:val="46EB2B66"/>
    <w:rsid w:val="47400072"/>
    <w:rsid w:val="475E7A0C"/>
    <w:rsid w:val="47C50EA1"/>
    <w:rsid w:val="480D4389"/>
    <w:rsid w:val="48124F71"/>
    <w:rsid w:val="4851227B"/>
    <w:rsid w:val="48831E00"/>
    <w:rsid w:val="48FA54EA"/>
    <w:rsid w:val="499C1B7C"/>
    <w:rsid w:val="49B54524"/>
    <w:rsid w:val="4A3F52C8"/>
    <w:rsid w:val="4A8672CE"/>
    <w:rsid w:val="4AA853E4"/>
    <w:rsid w:val="4AB56694"/>
    <w:rsid w:val="4AEB50D2"/>
    <w:rsid w:val="4C585D7E"/>
    <w:rsid w:val="4C7E235D"/>
    <w:rsid w:val="4CAD113D"/>
    <w:rsid w:val="4CB3066C"/>
    <w:rsid w:val="4CD01854"/>
    <w:rsid w:val="4E23603D"/>
    <w:rsid w:val="4E54432E"/>
    <w:rsid w:val="4FA17831"/>
    <w:rsid w:val="4FCF493E"/>
    <w:rsid w:val="4FE7691E"/>
    <w:rsid w:val="50F133F3"/>
    <w:rsid w:val="513A215E"/>
    <w:rsid w:val="51A06605"/>
    <w:rsid w:val="531F19C2"/>
    <w:rsid w:val="53295FDE"/>
    <w:rsid w:val="53556A73"/>
    <w:rsid w:val="53C56766"/>
    <w:rsid w:val="542D4B29"/>
    <w:rsid w:val="548124E6"/>
    <w:rsid w:val="54AE50F3"/>
    <w:rsid w:val="551654B3"/>
    <w:rsid w:val="55777A4B"/>
    <w:rsid w:val="56481BE9"/>
    <w:rsid w:val="569B459C"/>
    <w:rsid w:val="56D47316"/>
    <w:rsid w:val="57B71433"/>
    <w:rsid w:val="57B91294"/>
    <w:rsid w:val="57C5155B"/>
    <w:rsid w:val="57D709AE"/>
    <w:rsid w:val="580B741B"/>
    <w:rsid w:val="58AD314D"/>
    <w:rsid w:val="59587C15"/>
    <w:rsid w:val="59FA07BD"/>
    <w:rsid w:val="5A1B7474"/>
    <w:rsid w:val="5A3F1305"/>
    <w:rsid w:val="5B384A5F"/>
    <w:rsid w:val="5B855C9C"/>
    <w:rsid w:val="5C76269E"/>
    <w:rsid w:val="5C8840D7"/>
    <w:rsid w:val="5CCB0F48"/>
    <w:rsid w:val="5CD821BC"/>
    <w:rsid w:val="5CE64742"/>
    <w:rsid w:val="5D841603"/>
    <w:rsid w:val="5DE06EF4"/>
    <w:rsid w:val="5F884314"/>
    <w:rsid w:val="5FA8754A"/>
    <w:rsid w:val="5FD14A54"/>
    <w:rsid w:val="60022F36"/>
    <w:rsid w:val="60AB2D19"/>
    <w:rsid w:val="61142BCC"/>
    <w:rsid w:val="612862DA"/>
    <w:rsid w:val="62223AD5"/>
    <w:rsid w:val="626B7488"/>
    <w:rsid w:val="62CC631F"/>
    <w:rsid w:val="633C1B4A"/>
    <w:rsid w:val="64674C98"/>
    <w:rsid w:val="64B45E8B"/>
    <w:rsid w:val="64D97142"/>
    <w:rsid w:val="6579187F"/>
    <w:rsid w:val="662F66BD"/>
    <w:rsid w:val="663B2246"/>
    <w:rsid w:val="667165E0"/>
    <w:rsid w:val="668F1BD8"/>
    <w:rsid w:val="674F77B4"/>
    <w:rsid w:val="67765A8E"/>
    <w:rsid w:val="67F81D3C"/>
    <w:rsid w:val="67FC4719"/>
    <w:rsid w:val="680676BC"/>
    <w:rsid w:val="68550B65"/>
    <w:rsid w:val="68624EE5"/>
    <w:rsid w:val="68702FE3"/>
    <w:rsid w:val="68CC5C22"/>
    <w:rsid w:val="68FC0A2F"/>
    <w:rsid w:val="695C73D4"/>
    <w:rsid w:val="699F5CA1"/>
    <w:rsid w:val="69A66400"/>
    <w:rsid w:val="69AC7635"/>
    <w:rsid w:val="69FF3368"/>
    <w:rsid w:val="6A09790B"/>
    <w:rsid w:val="6A9C412D"/>
    <w:rsid w:val="6AFC1935"/>
    <w:rsid w:val="6B183E05"/>
    <w:rsid w:val="6BD24224"/>
    <w:rsid w:val="6BF91DE7"/>
    <w:rsid w:val="6D2954C0"/>
    <w:rsid w:val="6D3D3A6A"/>
    <w:rsid w:val="6D9D2F56"/>
    <w:rsid w:val="6D9F3BE5"/>
    <w:rsid w:val="6E256756"/>
    <w:rsid w:val="6F1E7191"/>
    <w:rsid w:val="6F883C22"/>
    <w:rsid w:val="6F9028E3"/>
    <w:rsid w:val="6FFF2472"/>
    <w:rsid w:val="7063216F"/>
    <w:rsid w:val="711C0BBA"/>
    <w:rsid w:val="71213CDA"/>
    <w:rsid w:val="715C6407"/>
    <w:rsid w:val="716D32F6"/>
    <w:rsid w:val="723559A2"/>
    <w:rsid w:val="72763032"/>
    <w:rsid w:val="72931987"/>
    <w:rsid w:val="729521B1"/>
    <w:rsid w:val="729D03ED"/>
    <w:rsid w:val="72E36128"/>
    <w:rsid w:val="72F76E18"/>
    <w:rsid w:val="73025627"/>
    <w:rsid w:val="73501BFB"/>
    <w:rsid w:val="745B3074"/>
    <w:rsid w:val="748702F8"/>
    <w:rsid w:val="74A710A1"/>
    <w:rsid w:val="74B65F16"/>
    <w:rsid w:val="755A28FD"/>
    <w:rsid w:val="75B63EE2"/>
    <w:rsid w:val="75D02F7D"/>
    <w:rsid w:val="76121F88"/>
    <w:rsid w:val="76514B7A"/>
    <w:rsid w:val="769940DB"/>
    <w:rsid w:val="76EC7611"/>
    <w:rsid w:val="771C5126"/>
    <w:rsid w:val="773931A1"/>
    <w:rsid w:val="773E12CF"/>
    <w:rsid w:val="77516D21"/>
    <w:rsid w:val="78790ACC"/>
    <w:rsid w:val="789C7EA7"/>
    <w:rsid w:val="78E46F9A"/>
    <w:rsid w:val="7A1355CE"/>
    <w:rsid w:val="7A4715DF"/>
    <w:rsid w:val="7A896C58"/>
    <w:rsid w:val="7AFE3ED3"/>
    <w:rsid w:val="7B196262"/>
    <w:rsid w:val="7B1E3BC2"/>
    <w:rsid w:val="7B722E8B"/>
    <w:rsid w:val="7BFD784A"/>
    <w:rsid w:val="7C281357"/>
    <w:rsid w:val="7C6778A0"/>
    <w:rsid w:val="7EB66102"/>
    <w:rsid w:val="7F083F7A"/>
    <w:rsid w:val="7F0D7A16"/>
    <w:rsid w:val="7F567244"/>
    <w:rsid w:val="7F605043"/>
    <w:rsid w:val="7FA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6">
    <w:name w:val="heading 2"/>
    <w:basedOn w:val="1"/>
    <w:next w:val="1"/>
    <w:qFormat/>
    <w:uiPriority w:val="0"/>
    <w:pPr>
      <w:keepNext/>
      <w:keepLines/>
      <w:widowControl w:val="0"/>
      <w:spacing w:line="360" w:lineRule="auto"/>
      <w:ind w:firstLine="540" w:firstLineChars="192"/>
      <w:jc w:val="center"/>
      <w:outlineLvl w:val="1"/>
    </w:pPr>
    <w:rPr>
      <w:rFonts w:ascii="Arial" w:hAnsi="Arial" w:eastAsia="宋体" w:cs="Times New Roman"/>
      <w:b/>
      <w:bCs/>
      <w:kern w:val="2"/>
      <w:sz w:val="28"/>
      <w:szCs w:val="32"/>
      <w:lang w:val="en-US" w:eastAsia="zh-CN" w:bidi="ar-SA"/>
    </w:rPr>
  </w:style>
  <w:style w:type="paragraph" w:styleId="7">
    <w:name w:val="heading 3"/>
    <w:basedOn w:val="1"/>
    <w:next w:val="8"/>
    <w:semiHidden/>
    <w:unhideWhenUsed/>
    <w:qFormat/>
    <w:uiPriority w:val="0"/>
    <w:pPr>
      <w:keepNext/>
      <w:keepLines/>
      <w:spacing w:line="413" w:lineRule="auto"/>
      <w:outlineLvl w:val="2"/>
    </w:pPr>
    <w:rPr>
      <w:b/>
      <w:sz w:val="32"/>
    </w:rPr>
  </w:style>
  <w:style w:type="paragraph" w:styleId="10">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Arial" w:hAnsi="Arial"/>
      <w:snapToGrid w:val="0"/>
      <w:kern w:val="0"/>
      <w:sz w:val="20"/>
    </w:rPr>
  </w:style>
  <w:style w:type="paragraph" w:styleId="3">
    <w:name w:val="Body Text Indent"/>
    <w:basedOn w:val="1"/>
    <w:next w:val="4"/>
    <w:qFormat/>
    <w:uiPriority w:val="0"/>
    <w:pPr>
      <w:spacing w:line="400" w:lineRule="exact"/>
      <w:ind w:firstLine="560" w:firstLineChars="200"/>
    </w:pPr>
    <w:rPr>
      <w:sz w:val="28"/>
      <w:u w:val="single"/>
    </w:rPr>
  </w:style>
  <w:style w:type="paragraph" w:styleId="4">
    <w:name w:val="envelope return"/>
    <w:basedOn w:val="1"/>
    <w:qFormat/>
    <w:uiPriority w:val="0"/>
    <w:pPr>
      <w:snapToGrid w:val="0"/>
    </w:pPr>
    <w:rPr>
      <w:rFonts w:ascii="Arial" w:hAnsi="Arial"/>
    </w:rPr>
  </w:style>
  <w:style w:type="paragraph" w:styleId="8">
    <w:name w:val="Normal Indent"/>
    <w:basedOn w:val="1"/>
    <w:next w:val="9"/>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9">
    <w:name w:val="toc 4"/>
    <w:basedOn w:val="1"/>
    <w:next w:val="1"/>
    <w:unhideWhenUsed/>
    <w:qFormat/>
    <w:uiPriority w:val="39"/>
    <w:pPr>
      <w:ind w:left="1260" w:leftChars="600"/>
    </w:pPr>
    <w:rPr>
      <w:rFonts w:ascii="Calibri" w:hAnsi="Calibri"/>
      <w:szCs w:val="22"/>
    </w:rPr>
  </w:style>
  <w:style w:type="paragraph" w:styleId="11">
    <w:name w:val="Document Map"/>
    <w:basedOn w:val="1"/>
    <w:qFormat/>
    <w:uiPriority w:val="0"/>
    <w:rPr>
      <w:sz w:val="18"/>
      <w:szCs w:val="18"/>
    </w:rPr>
  </w:style>
  <w:style w:type="paragraph" w:styleId="12">
    <w:name w:val="Body Text"/>
    <w:basedOn w:val="1"/>
    <w:next w:val="13"/>
    <w:qFormat/>
    <w:uiPriority w:val="1"/>
    <w:pPr>
      <w:ind w:left="558"/>
      <w:jc w:val="left"/>
    </w:pPr>
    <w:rPr>
      <w:rFonts w:ascii="宋体" w:hAnsi="宋体"/>
      <w:kern w:val="0"/>
      <w:szCs w:val="21"/>
      <w:lang w:eastAsia="en-US"/>
    </w:rPr>
  </w:style>
  <w:style w:type="paragraph" w:styleId="13">
    <w:name w:val="toc 8"/>
    <w:basedOn w:val="1"/>
    <w:next w:val="1"/>
    <w:unhideWhenUsed/>
    <w:qFormat/>
    <w:uiPriority w:val="39"/>
    <w:pPr>
      <w:ind w:left="2940" w:leftChars="1400"/>
    </w:pPr>
    <w:rPr>
      <w:rFonts w:ascii="Calibri" w:hAnsi="Calibri"/>
      <w:szCs w:val="22"/>
    </w:rPr>
  </w:style>
  <w:style w:type="paragraph" w:styleId="14">
    <w:name w:val="Body Text Indent 2"/>
    <w:basedOn w:val="1"/>
    <w:next w:val="1"/>
    <w:unhideWhenUsed/>
    <w:qFormat/>
    <w:uiPriority w:val="99"/>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next w:val="1"/>
    <w:qFormat/>
    <w:uiPriority w:val="0"/>
    <w:pPr>
      <w:ind w:left="420" w:hanging="420"/>
    </w:pPr>
  </w:style>
  <w:style w:type="paragraph" w:styleId="18">
    <w:name w:val="Normal (Web)"/>
    <w:basedOn w:val="1"/>
    <w:qFormat/>
    <w:uiPriority w:val="0"/>
    <w:pPr>
      <w:widowControl/>
      <w:jc w:val="left"/>
    </w:pPr>
    <w:rPr>
      <w:rFonts w:ascii="宋体" w:hAnsi="宋体" w:cs="宋体"/>
      <w:kern w:val="0"/>
      <w:sz w:val="24"/>
      <w:szCs w:val="22"/>
    </w:rPr>
  </w:style>
  <w:style w:type="paragraph" w:styleId="19">
    <w:name w:val="Body Text First Indent"/>
    <w:basedOn w:val="12"/>
    <w:qFormat/>
    <w:uiPriority w:val="0"/>
    <w:pPr>
      <w:spacing w:after="120"/>
      <w:ind w:right="0" w:firstLine="420" w:firstLineChars="100"/>
      <w:jc w:val="both"/>
    </w:pPr>
    <w:rPr>
      <w:sz w:val="21"/>
      <w:szCs w:val="24"/>
    </w:rPr>
  </w:style>
  <w:style w:type="character" w:styleId="22">
    <w:name w:val="FollowedHyperlink"/>
    <w:basedOn w:val="21"/>
    <w:qFormat/>
    <w:uiPriority w:val="0"/>
    <w:rPr>
      <w:color w:val="07519A"/>
      <w:u w:val="none"/>
    </w:rPr>
  </w:style>
  <w:style w:type="character" w:styleId="23">
    <w:name w:val="Hyperlink"/>
    <w:basedOn w:val="21"/>
    <w:qFormat/>
    <w:uiPriority w:val="0"/>
    <w:rPr>
      <w:color w:val="0000FF"/>
      <w:u w:val="single"/>
    </w:rPr>
  </w:style>
  <w:style w:type="paragraph" w:customStyle="1" w:styleId="24">
    <w:name w:val="样式2"/>
    <w:next w:val="5"/>
    <w:qFormat/>
    <w:uiPriority w:val="0"/>
    <w:pPr>
      <w:jc w:val="both"/>
    </w:pPr>
    <w:rPr>
      <w:rFonts w:ascii="Times New Roman" w:hAnsi="Times New Roman" w:eastAsia="宋体" w:cs="Times New Roman"/>
      <w:i/>
      <w:iCs/>
      <w:sz w:val="15"/>
      <w:u w:val="single"/>
      <w:lang w:val="en-US" w:eastAsia="zh-CN" w:bidi="ar-SA"/>
    </w:rPr>
  </w:style>
  <w:style w:type="paragraph" w:customStyle="1" w:styleId="25">
    <w:name w:val="样式 小四"/>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26">
    <w:name w:val="中文正文、"/>
    <w:basedOn w:val="1"/>
    <w:qFormat/>
    <w:uiPriority w:val="0"/>
    <w:pPr>
      <w:adjustRightInd/>
      <w:spacing w:line="360" w:lineRule="auto"/>
      <w:ind w:firstLine="420" w:firstLineChars="200"/>
    </w:pPr>
    <w:rPr>
      <w:rFonts w:eastAsia="宋体"/>
      <w:kern w:val="2"/>
      <w:sz w:val="21"/>
      <w:szCs w:val="21"/>
      <w:lang w:val="en-US" w:eastAsia="zh-CN"/>
    </w:rPr>
  </w:style>
  <w:style w:type="paragraph" w:customStyle="1" w:styleId="27">
    <w:name w:val="标题二、"/>
    <w:basedOn w:val="1"/>
    <w:qFormat/>
    <w:uiPriority w:val="0"/>
    <w:pPr>
      <w:spacing w:line="360" w:lineRule="auto"/>
      <w:ind w:firstLine="200" w:firstLineChars="200"/>
      <w:outlineLvl w:val="2"/>
    </w:pPr>
    <w:rPr>
      <w:rFonts w:ascii="宋体" w:hAnsi="宋体"/>
      <w:b/>
      <w:kern w:val="0"/>
      <w:sz w:val="20"/>
      <w:szCs w:val="21"/>
    </w:rPr>
  </w:style>
  <w:style w:type="paragraph" w:customStyle="1" w:styleId="2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29">
    <w:name w:val="sb_no"/>
    <w:basedOn w:val="21"/>
    <w:qFormat/>
    <w:uiPriority w:val="0"/>
    <w:rPr>
      <w:shd w:val="clear" w:fill="FFFFFF"/>
    </w:rPr>
  </w:style>
  <w:style w:type="character" w:customStyle="1" w:styleId="30">
    <w:name w:val="first-child"/>
    <w:basedOn w:val="21"/>
    <w:qFormat/>
    <w:uiPriority w:val="0"/>
  </w:style>
  <w:style w:type="character" w:customStyle="1" w:styleId="31">
    <w:name w:val="i"/>
    <w:basedOn w:val="21"/>
    <w:qFormat/>
    <w:uiPriority w:val="0"/>
  </w:style>
  <w:style w:type="character" w:customStyle="1" w:styleId="32">
    <w:name w:val="fr"/>
    <w:basedOn w:val="21"/>
    <w:qFormat/>
    <w:uiPriority w:val="0"/>
  </w:style>
  <w:style w:type="character" w:customStyle="1" w:styleId="33">
    <w:name w:val="layui-this"/>
    <w:basedOn w:val="21"/>
    <w:qFormat/>
    <w:uiPriority w:val="0"/>
    <w:rPr>
      <w:bdr w:val="single" w:color="EEEEEE" w:sz="6" w:space="0"/>
      <w:shd w:val="clear" w:fill="FFFFFF"/>
    </w:rPr>
  </w:style>
  <w:style w:type="paragraph" w:customStyle="1" w:styleId="34">
    <w:name w:val="列出段落11"/>
    <w:basedOn w:val="1"/>
    <w:qFormat/>
    <w:uiPriority w:val="0"/>
    <w:pPr>
      <w:ind w:firstLine="420" w:firstLineChars="200"/>
    </w:pPr>
    <w:rPr>
      <w:rFonts w:cs="宋体"/>
    </w:rPr>
  </w:style>
  <w:style w:type="paragraph" w:customStyle="1" w:styleId="35">
    <w:name w:val="正文内容"/>
    <w:basedOn w:val="1"/>
    <w:qFormat/>
    <w:uiPriority w:val="0"/>
    <w:pPr>
      <w:spacing w:line="560" w:lineRule="exact"/>
      <w:ind w:firstLine="640" w:firstLineChars="200"/>
    </w:pPr>
    <w:rPr>
      <w:rFonts w:eastAsia="方正仿宋简体"/>
      <w:kern w:val="0"/>
      <w:sz w:val="32"/>
      <w:szCs w:val="32"/>
    </w:rPr>
  </w:style>
  <w:style w:type="paragraph" w:customStyle="1" w:styleId="36">
    <w:name w:val="表内列标题"/>
    <w:basedOn w:val="1"/>
    <w:qFormat/>
    <w:uiPriority w:val="0"/>
    <w:pPr>
      <w:widowControl/>
      <w:spacing w:line="320" w:lineRule="atLeast"/>
      <w:jc w:val="center"/>
    </w:pPr>
    <w:rPr>
      <w:rFonts w:ascii="方正黑体简体" w:hAnsi="黑体" w:eastAsia="方正黑体简体"/>
      <w:spacing w:val="2"/>
      <w:kern w:val="0"/>
      <w:szCs w:val="22"/>
      <w:lang w:eastAsia="en-US" w:bidi="en-US"/>
    </w:rPr>
  </w:style>
  <w:style w:type="paragraph" w:customStyle="1" w:styleId="37">
    <w:name w:val="列出段落1"/>
    <w:basedOn w:val="1"/>
    <w:qFormat/>
    <w:uiPriority w:val="0"/>
    <w:pPr>
      <w:widowControl/>
      <w:spacing w:line="360" w:lineRule="auto"/>
      <w:ind w:firstLine="420" w:firstLineChars="200"/>
      <w:jc w:val="left"/>
    </w:pPr>
    <w:rPr>
      <w:rFonts w:ascii="宋体" w:hAnsi="宋体"/>
      <w:spacing w:val="6"/>
      <w:kern w:val="0"/>
      <w:szCs w:val="21"/>
      <w:lang w:eastAsia="en-US" w:bidi="en-US"/>
    </w:rPr>
  </w:style>
  <w:style w:type="paragraph" w:customStyle="1" w:styleId="38">
    <w:name w:val="样式正文"/>
    <w:qFormat/>
    <w:uiPriority w:val="0"/>
    <w:pPr>
      <w:widowControl w:val="0"/>
      <w:tabs>
        <w:tab w:val="left" w:pos="0"/>
      </w:tabs>
      <w:spacing w:line="480" w:lineRule="exact"/>
      <w:ind w:firstLine="200"/>
      <w:jc w:val="both"/>
    </w:pPr>
    <w:rPr>
      <w:rFonts w:ascii="Times New Roman" w:hAnsi="Times New Roman" w:eastAsia="宋体" w:cs="Times New Roman"/>
      <w:kern w:val="2"/>
      <w:sz w:val="21"/>
      <w:szCs w:val="24"/>
      <w:lang w:val="en-US" w:eastAsia="zh-CN" w:bidi="ar-SA"/>
    </w:rPr>
  </w:style>
  <w:style w:type="character" w:customStyle="1" w:styleId="39">
    <w:name w:val="font21"/>
    <w:basedOn w:val="21"/>
    <w:qFormat/>
    <w:uiPriority w:val="0"/>
    <w:rPr>
      <w:rFonts w:hint="default" w:ascii="Times New Roman" w:hAnsi="Times New Roman" w:cs="Times New Roman"/>
      <w:color w:val="FF0000"/>
      <w:sz w:val="18"/>
      <w:szCs w:val="18"/>
      <w:u w:val="none"/>
    </w:rPr>
  </w:style>
  <w:style w:type="character" w:customStyle="1" w:styleId="40">
    <w:name w:val="font31"/>
    <w:basedOn w:val="21"/>
    <w:qFormat/>
    <w:uiPriority w:val="0"/>
    <w:rPr>
      <w:rFonts w:hint="eastAsia" w:ascii="宋体" w:hAnsi="宋体" w:eastAsia="宋体" w:cs="宋体"/>
      <w:color w:val="FF0000"/>
      <w:sz w:val="18"/>
      <w:szCs w:val="18"/>
      <w:u w:val="none"/>
    </w:rPr>
  </w:style>
  <w:style w:type="paragraph" w:customStyle="1" w:styleId="41">
    <w:name w:val="BodyText"/>
    <w:basedOn w:val="1"/>
    <w:qFormat/>
    <w:uiPriority w:val="0"/>
    <w:pPr>
      <w:spacing w:line="200" w:lineRule="exact"/>
      <w:jc w:val="both"/>
      <w:textAlignment w:val="baseline"/>
    </w:pPr>
    <w:rPr>
      <w:rFonts w:ascii="Times New Roman" w:hAnsi="宋体" w:eastAsia="宋体" w:cs="Times New Roman"/>
      <w:b/>
      <w:bCs/>
      <w:kern w:val="0"/>
      <w:sz w:val="21"/>
      <w:szCs w:val="22"/>
      <w:lang w:val="en-US" w:eastAsia="zh-CN" w:bidi="ar-SA"/>
    </w:rPr>
  </w:style>
  <w:style w:type="paragraph" w:styleId="42">
    <w:name w:val="List Paragraph"/>
    <w:basedOn w:val="1"/>
    <w:unhideWhenUsed/>
    <w:qFormat/>
    <w:uiPriority w:val="34"/>
    <w:pPr>
      <w:ind w:firstLine="420" w:firstLineChars="200"/>
    </w:pPr>
  </w:style>
  <w:style w:type="character" w:customStyle="1" w:styleId="43">
    <w:name w:val="font51"/>
    <w:basedOn w:val="21"/>
    <w:qFormat/>
    <w:uiPriority w:val="0"/>
    <w:rPr>
      <w:rFonts w:hint="default" w:ascii="Times New Roman" w:hAnsi="Times New Roman" w:cs="Times New Roman"/>
      <w:color w:val="000000"/>
      <w:sz w:val="22"/>
      <w:szCs w:val="22"/>
      <w:u w:val="none"/>
    </w:rPr>
  </w:style>
  <w:style w:type="character" w:customStyle="1" w:styleId="44">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2388</Words>
  <Characters>2552</Characters>
  <Lines>1</Lines>
  <Paragraphs>1</Paragraphs>
  <TotalTime>2</TotalTime>
  <ScaleCrop>false</ScaleCrop>
  <LinksUpToDate>false</LinksUpToDate>
  <CharactersWithSpaces>2597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2023-08-25T10:01:00Z</dcterms:created>
  <dc:creator>运输公司</dc:creator>
  <cp:lastModifiedBy> </cp:lastModifiedBy>
  <dcterms:modified xsi:type="dcterms:W3CDTF">2025-11-03T03:12:34Z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824BE45686B3463CAE2B48507DDA4984_13</vt:lpwstr>
  </property>
  <property fmtid="{D5CDD505-2E9C-101B-9397-08002B2CF9AE}" pid="4" name="KSOTemplateDocerSaveRecord">
    <vt:lpwstr>eyJoZGlkIjoiNTUzZGI0MWE1MTcxNDk4NjZmYWZiMDUzOTk3NjU2ZWUiLCJ1c2VySWQiOiI4NjY3MjU3MzkifQ==</vt:lpwstr>
  </property>
</Properties>
</file>