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E7FA8">
      <w:pPr>
        <w:pStyle w:val="2"/>
        <w:bidi w:val="0"/>
      </w:pPr>
      <w:bookmarkStart w:id="2" w:name="_GoBack"/>
      <w:bookmarkStart w:id="0" w:name="_Hlk193814277"/>
      <w:r>
        <w:rPr>
          <w:rFonts w:hint="eastAsia"/>
        </w:rPr>
        <w:t>中国邮政集团有限公司盐城市分公司建湖分公司杨阳快消同城配送项目外包招标公告</w:t>
      </w:r>
      <w:bookmarkEnd w:id="0"/>
    </w:p>
    <w:p w14:paraId="5A9C51B0">
      <w:pPr>
        <w:pStyle w:val="2"/>
        <w:bidi w:val="0"/>
        <w:rPr>
          <w:rFonts w:hint="eastAsia"/>
        </w:rPr>
      </w:pPr>
      <w:r>
        <w:rPr>
          <w:rFonts w:hint="eastAsia"/>
        </w:rPr>
        <w:t>中通服网盈科技有限公司（以下简称“招标代理”）受中国邮政集团有限公司盐城市分公司（以下简称“招标人”）委托，就中国邮政集团有限公司盐城市分公司建湖分公司杨阳快消同城配送项目外包下的货物及服务进行国内公开招标。项目资金由招标人自筹，资金已落实。有意向的潜在投标人（以下简称投标人）可前来投标。</w:t>
      </w:r>
    </w:p>
    <w:p w14:paraId="5283DA26">
      <w:pPr>
        <w:pStyle w:val="2"/>
        <w:bidi w:val="0"/>
        <w:rPr>
          <w:rFonts w:hint="eastAsia"/>
        </w:rPr>
      </w:pPr>
      <w:r>
        <w:rPr>
          <w:rFonts w:hint="eastAsia"/>
        </w:rPr>
        <w:t>一、项目名称：中国邮政集团有限公司盐城市分公司建湖分公司杨阳快消同城配送项目外包</w:t>
      </w:r>
    </w:p>
    <w:p w14:paraId="2FC63238">
      <w:pPr>
        <w:pStyle w:val="2"/>
        <w:bidi w:val="0"/>
        <w:rPr>
          <w:rFonts w:hint="eastAsia"/>
        </w:rPr>
      </w:pPr>
      <w:r>
        <w:rPr>
          <w:rFonts w:hint="eastAsia"/>
        </w:rPr>
        <w:t>二、项目编号：WY-20251104-011</w:t>
      </w:r>
    </w:p>
    <w:p w14:paraId="5189541B">
      <w:pPr>
        <w:pStyle w:val="2"/>
        <w:bidi w:val="0"/>
        <w:rPr>
          <w:rFonts w:hint="eastAsia"/>
        </w:rPr>
      </w:pPr>
      <w:r>
        <w:rPr>
          <w:rFonts w:hint="eastAsia"/>
        </w:rPr>
        <w:t>三、招标内容</w:t>
      </w:r>
    </w:p>
    <w:p w14:paraId="2A8D0719">
      <w:pPr>
        <w:pStyle w:val="2"/>
        <w:bidi w:val="0"/>
        <w:rPr>
          <w:rFonts w:hint="eastAsia"/>
        </w:rPr>
      </w:pPr>
      <w:r>
        <w:rPr>
          <w:rFonts w:hint="eastAsia"/>
        </w:rPr>
        <w:t>3.1</w:t>
      </w:r>
      <w:r>
        <w:t>招标内容</w:t>
      </w:r>
    </w:p>
    <w:p w14:paraId="1F0B6762">
      <w:pPr>
        <w:pStyle w:val="2"/>
        <w:bidi w:val="0"/>
        <w:rPr>
          <w:rFonts w:hint="eastAsia"/>
        </w:rPr>
      </w:pPr>
      <w:r>
        <w:rPr>
          <w:rFonts w:hint="eastAsia"/>
        </w:rPr>
        <w:t>为满足招标人需求现对中国邮政集团有限公司盐城市分公司建湖分公司杨阳快消同城配送服务进行招标，本项目</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5"/>
          <w:rFonts w:hint="eastAsia" w:ascii="宋体" w:hAnsi="宋体" w:eastAsia="宋体" w:cs="宋体"/>
          <w:i w:val="0"/>
          <w:iCs w:val="0"/>
          <w:caps w:val="0"/>
          <w:color w:val="4577DC"/>
          <w:spacing w:val="0"/>
          <w:szCs w:val="24"/>
          <w:u w:val="none"/>
          <w:bdr w:val="none" w:color="auto" w:sz="0" w:space="0"/>
          <w:shd w:val="clear" w:fill="FAFAFA"/>
        </w:rPr>
        <w:t>预算</w:t>
      </w:r>
      <w:r>
        <w:rPr>
          <w:rFonts w:hint="eastAsia"/>
        </w:rPr>
        <w:fldChar w:fldCharType="end"/>
      </w:r>
      <w:r>
        <w:rPr>
          <w:rFonts w:hint="eastAsia"/>
        </w:rPr>
        <w:t>48.15万元/年（含税）。</w:t>
      </w:r>
    </w:p>
    <w:p w14:paraId="17A053F3">
      <w:pPr>
        <w:pStyle w:val="2"/>
        <w:bidi w:val="0"/>
        <w:rPr>
          <w:rFonts w:hint="eastAsia"/>
        </w:rPr>
      </w:pPr>
      <w:r>
        <w:rPr>
          <w:rFonts w:hint="eastAsia"/>
        </w:rPr>
        <w:t>合同有效期：自合同签订之日起1年。</w:t>
      </w:r>
    </w:p>
    <w:p w14:paraId="0D49A28C">
      <w:pPr>
        <w:pStyle w:val="2"/>
        <w:bidi w:val="0"/>
        <w:rPr>
          <w:rFonts w:hint="eastAsia"/>
        </w:rPr>
      </w:pPr>
      <w:r>
        <w:rPr>
          <w:rFonts w:hint="eastAsia"/>
        </w:rPr>
        <w:t>3.2本项目不划分标包。</w:t>
      </w:r>
    </w:p>
    <w:p w14:paraId="0C9B4882">
      <w:pPr>
        <w:pStyle w:val="2"/>
        <w:bidi w:val="0"/>
        <w:rPr>
          <w:rFonts w:hint="eastAsia"/>
        </w:rPr>
      </w:pPr>
      <w:r>
        <w:rPr>
          <w:rFonts w:hint="eastAsia"/>
        </w:rPr>
        <w:t>3.3 本项目设置含税单价最高限价（详见下表），投标人单价</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5"/>
          <w:rFonts w:hint="eastAsia" w:ascii="宋体" w:hAnsi="宋体" w:eastAsia="宋体" w:cs="宋体"/>
          <w:i w:val="0"/>
          <w:iCs w:val="0"/>
          <w:caps w:val="0"/>
          <w:color w:val="4577DC"/>
          <w:spacing w:val="0"/>
          <w:szCs w:val="24"/>
          <w:u w:val="none"/>
          <w:bdr w:val="none" w:color="auto" w:sz="0" w:space="0"/>
          <w:shd w:val="clear" w:fill="FAFAFA"/>
        </w:rPr>
        <w:t>投标报价</w:t>
      </w:r>
      <w:r>
        <w:rPr>
          <w:rFonts w:hint="eastAsia"/>
        </w:rPr>
        <w:fldChar w:fldCharType="end"/>
      </w:r>
      <w:r>
        <w:rPr>
          <w:rFonts w:hint="eastAsia"/>
        </w:rPr>
        <w:t>高于最高单价限价的，其投标将被否决。</w:t>
      </w:r>
    </w:p>
    <w:tbl>
      <w:tblPr>
        <w:tblW w:w="7300" w:type="dxa"/>
        <w:tblInd w:w="0" w:type="dxa"/>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Layout w:type="autofit"/>
        <w:tblCellMar>
          <w:top w:w="0" w:type="dxa"/>
          <w:left w:w="0" w:type="dxa"/>
          <w:bottom w:w="0" w:type="dxa"/>
          <w:right w:w="0" w:type="dxa"/>
        </w:tblCellMar>
      </w:tblPr>
      <w:tblGrid>
        <w:gridCol w:w="566"/>
        <w:gridCol w:w="2344"/>
        <w:gridCol w:w="1293"/>
        <w:gridCol w:w="1469"/>
        <w:gridCol w:w="887"/>
        <w:gridCol w:w="741"/>
      </w:tblGrid>
      <w:tr w14:paraId="4D5AD4B6">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trHeight w:val="646" w:hRule="atLeast"/>
        </w:trPr>
        <w:tc>
          <w:tcPr>
            <w:tcW w:w="500" w:type="dxa"/>
            <w:tcBorders>
              <w:top w:val="single" w:color="D1D1D1" w:sz="4"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194B2E7A">
            <w:pPr>
              <w:pStyle w:val="2"/>
              <w:bidi w:val="0"/>
              <w:rPr>
                <w:rFonts w:hint="eastAsia"/>
              </w:rPr>
            </w:pPr>
            <w:r>
              <w:rPr>
                <w:rFonts w:hint="eastAsia"/>
              </w:rPr>
              <w:t>序号</w:t>
            </w:r>
          </w:p>
        </w:tc>
        <w:tc>
          <w:tcPr>
            <w:tcW w:w="2071" w:type="dxa"/>
            <w:tcBorders>
              <w:top w:val="single" w:color="D1D1D1" w:sz="4"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010F5963">
            <w:pPr>
              <w:pStyle w:val="2"/>
              <w:bidi w:val="0"/>
              <w:rPr>
                <w:rFonts w:hint="eastAsia"/>
              </w:rPr>
            </w:pPr>
            <w:r>
              <w:rPr>
                <w:rFonts w:hint="eastAsia"/>
              </w:rPr>
              <w:t>业务量区间（件）</w:t>
            </w:r>
          </w:p>
          <w:p w14:paraId="7EC1E339">
            <w:pPr>
              <w:pStyle w:val="2"/>
              <w:bidi w:val="0"/>
              <w:rPr>
                <w:rFonts w:hint="eastAsia"/>
              </w:rPr>
            </w:pPr>
            <w:r>
              <w:rPr>
                <w:rFonts w:hint="eastAsia"/>
              </w:rPr>
              <w:t>按业务量分档测算</w:t>
            </w:r>
          </w:p>
        </w:tc>
        <w:tc>
          <w:tcPr>
            <w:tcW w:w="1143" w:type="dxa"/>
            <w:tcBorders>
              <w:top w:val="single" w:color="D1D1D1" w:sz="4"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77B64C01">
            <w:pPr>
              <w:pStyle w:val="2"/>
              <w:bidi w:val="0"/>
              <w:rPr>
                <w:rFonts w:hint="eastAsia"/>
              </w:rPr>
            </w:pPr>
            <w:r>
              <w:rPr>
                <w:rFonts w:hint="eastAsia"/>
              </w:rPr>
              <w:t>预估全年业务量（件）</w:t>
            </w:r>
          </w:p>
        </w:tc>
        <w:tc>
          <w:tcPr>
            <w:tcW w:w="1298" w:type="dxa"/>
            <w:tcBorders>
              <w:top w:val="single" w:color="D1D1D1" w:sz="4"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05DBDA3A">
            <w:pPr>
              <w:pStyle w:val="2"/>
              <w:bidi w:val="0"/>
              <w:rPr>
                <w:rFonts w:hint="eastAsia"/>
              </w:rPr>
            </w:pPr>
            <w:r>
              <w:rPr>
                <w:rFonts w:hint="eastAsia"/>
              </w:rPr>
              <w:t>含税单价最高限价（元/件）</w:t>
            </w:r>
          </w:p>
        </w:tc>
        <w:tc>
          <w:tcPr>
            <w:tcW w:w="784" w:type="dxa"/>
            <w:tcBorders>
              <w:top w:val="single" w:color="D1D1D1" w:sz="4"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5ABEDFE2">
            <w:pPr>
              <w:pStyle w:val="2"/>
              <w:bidi w:val="0"/>
              <w:rPr>
                <w:rFonts w:hint="eastAsia"/>
              </w:rPr>
            </w:pPr>
            <w:r>
              <w:rPr>
                <w:rFonts w:hint="eastAsia"/>
              </w:rPr>
              <w:t>全年预算</w:t>
            </w:r>
          </w:p>
          <w:p w14:paraId="0B3BD94C">
            <w:pPr>
              <w:pStyle w:val="2"/>
              <w:bidi w:val="0"/>
              <w:rPr>
                <w:rFonts w:hint="eastAsia"/>
              </w:rPr>
            </w:pPr>
            <w:r>
              <w:rPr>
                <w:rFonts w:hint="eastAsia"/>
              </w:rPr>
              <w:t>（万元）</w:t>
            </w:r>
          </w:p>
        </w:tc>
        <w:tc>
          <w:tcPr>
            <w:tcW w:w="655" w:type="dxa"/>
            <w:tcBorders>
              <w:top w:val="single" w:color="D1D1D1" w:sz="4"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4FBB3375">
            <w:pPr>
              <w:pStyle w:val="2"/>
              <w:bidi w:val="0"/>
              <w:rPr>
                <w:rFonts w:hint="eastAsia"/>
              </w:rPr>
            </w:pPr>
            <w:r>
              <w:rPr>
                <w:rFonts w:hint="eastAsia"/>
              </w:rPr>
              <w:t>价格分</w:t>
            </w:r>
          </w:p>
          <w:p w14:paraId="41BF78F6">
            <w:pPr>
              <w:pStyle w:val="2"/>
              <w:bidi w:val="0"/>
              <w:rPr>
                <w:rFonts w:hint="eastAsia"/>
              </w:rPr>
            </w:pPr>
            <w:r>
              <w:rPr>
                <w:rFonts w:hint="eastAsia"/>
              </w:rPr>
              <w:t>权重</w:t>
            </w:r>
          </w:p>
        </w:tc>
      </w:tr>
      <w:tr w14:paraId="5EFC1658">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371" w:hRule="atLeast"/>
        </w:trPr>
        <w:tc>
          <w:tcPr>
            <w:tcW w:w="500" w:type="dxa"/>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4E4858D5">
            <w:pPr>
              <w:pStyle w:val="2"/>
              <w:bidi w:val="0"/>
              <w:rPr>
                <w:rFonts w:hint="eastAsia"/>
              </w:rPr>
            </w:pPr>
            <w:r>
              <w:rPr>
                <w:rFonts w:hint="eastAsia"/>
              </w:rPr>
              <w:t>1</w:t>
            </w:r>
          </w:p>
        </w:tc>
        <w:tc>
          <w:tcPr>
            <w:tcW w:w="2071"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1CA54C75">
            <w:pPr>
              <w:pStyle w:val="2"/>
              <w:bidi w:val="0"/>
              <w:rPr>
                <w:rFonts w:hint="eastAsia"/>
              </w:rPr>
            </w:pPr>
            <w:r>
              <w:rPr>
                <w:rFonts w:hint="eastAsia"/>
              </w:rPr>
              <w:t>月日均班次业务量≦600</w:t>
            </w:r>
          </w:p>
        </w:tc>
        <w:tc>
          <w:tcPr>
            <w:tcW w:w="1143"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047BF8F2">
            <w:pPr>
              <w:pStyle w:val="2"/>
              <w:bidi w:val="0"/>
              <w:rPr>
                <w:rFonts w:hint="eastAsia"/>
              </w:rPr>
            </w:pPr>
            <w:r>
              <w:rPr>
                <w:rFonts w:hint="eastAsia"/>
              </w:rPr>
              <w:t>130130</w:t>
            </w:r>
          </w:p>
        </w:tc>
        <w:tc>
          <w:tcPr>
            <w:tcW w:w="1298"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3B1FB63E">
            <w:pPr>
              <w:pStyle w:val="2"/>
              <w:bidi w:val="0"/>
              <w:rPr>
                <w:rFonts w:hint="eastAsia"/>
              </w:rPr>
            </w:pPr>
            <w:r>
              <w:rPr>
                <w:rFonts w:hint="eastAsia"/>
              </w:rPr>
              <w:t>2.415</w:t>
            </w:r>
          </w:p>
        </w:tc>
        <w:tc>
          <w:tcPr>
            <w:tcW w:w="78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4CC69F78">
            <w:pPr>
              <w:pStyle w:val="2"/>
              <w:bidi w:val="0"/>
              <w:rPr>
                <w:rFonts w:hint="eastAsia"/>
              </w:rPr>
            </w:pPr>
            <w:r>
              <w:rPr>
                <w:rFonts w:hint="eastAsia"/>
              </w:rPr>
              <w:t>31.42</w:t>
            </w:r>
          </w:p>
        </w:tc>
        <w:tc>
          <w:tcPr>
            <w:tcW w:w="655" w:type="dxa"/>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5CF9EFA7">
            <w:pPr>
              <w:pStyle w:val="2"/>
              <w:bidi w:val="0"/>
              <w:rPr>
                <w:rFonts w:hint="eastAsia"/>
              </w:rPr>
            </w:pPr>
            <w:r>
              <w:rPr>
                <w:rFonts w:hint="eastAsia"/>
              </w:rPr>
              <w:t>65%</w:t>
            </w:r>
          </w:p>
        </w:tc>
      </w:tr>
      <w:tr w14:paraId="43D65626">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449" w:hRule="atLeast"/>
        </w:trPr>
        <w:tc>
          <w:tcPr>
            <w:tcW w:w="500" w:type="dxa"/>
            <w:tcBorders>
              <w:top w:val="single" w:color="D1D1D1" w:sz="6" w:space="0"/>
              <w:left w:val="single" w:color="D1D1D1" w:sz="4" w:space="0"/>
              <w:bottom w:val="single" w:color="D1D1D1" w:sz="6" w:space="0"/>
              <w:right w:val="single" w:color="D1D1D1" w:sz="6" w:space="0"/>
            </w:tcBorders>
            <w:shd w:val="clear" w:color="auto" w:fill="FFFFFF"/>
            <w:tcMar>
              <w:left w:w="101" w:type="dxa"/>
              <w:right w:w="101" w:type="dxa"/>
            </w:tcMar>
            <w:vAlign w:val="center"/>
          </w:tcPr>
          <w:p w14:paraId="60E3A003">
            <w:pPr>
              <w:pStyle w:val="2"/>
              <w:bidi w:val="0"/>
              <w:rPr>
                <w:rFonts w:hint="eastAsia"/>
              </w:rPr>
            </w:pPr>
            <w:r>
              <w:rPr>
                <w:rFonts w:hint="eastAsia"/>
              </w:rPr>
              <w:t>2</w:t>
            </w:r>
          </w:p>
        </w:tc>
        <w:tc>
          <w:tcPr>
            <w:tcW w:w="2071"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695047AB">
            <w:pPr>
              <w:pStyle w:val="2"/>
              <w:bidi w:val="0"/>
              <w:rPr>
                <w:rFonts w:hint="eastAsia"/>
              </w:rPr>
            </w:pPr>
            <w:r>
              <w:rPr>
                <w:rFonts w:hint="eastAsia"/>
              </w:rPr>
              <w:t>月日均班次业务量＞600</w:t>
            </w:r>
          </w:p>
        </w:tc>
        <w:tc>
          <w:tcPr>
            <w:tcW w:w="1143"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6CD15DC9">
            <w:pPr>
              <w:pStyle w:val="2"/>
              <w:bidi w:val="0"/>
              <w:rPr>
                <w:rFonts w:hint="eastAsia"/>
              </w:rPr>
            </w:pPr>
            <w:r>
              <w:rPr>
                <w:rFonts w:hint="eastAsia"/>
              </w:rPr>
              <w:t>70070</w:t>
            </w:r>
          </w:p>
        </w:tc>
        <w:tc>
          <w:tcPr>
            <w:tcW w:w="1298"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03FD2C8C">
            <w:pPr>
              <w:pStyle w:val="2"/>
              <w:bidi w:val="0"/>
              <w:rPr>
                <w:rFonts w:hint="eastAsia"/>
              </w:rPr>
            </w:pPr>
            <w:r>
              <w:rPr>
                <w:rFonts w:hint="eastAsia"/>
              </w:rPr>
              <w:t>2.403</w:t>
            </w:r>
          </w:p>
        </w:tc>
        <w:tc>
          <w:tcPr>
            <w:tcW w:w="784" w:type="dxa"/>
            <w:tcBorders>
              <w:top w:val="single" w:color="D1D1D1" w:sz="6" w:space="0"/>
              <w:left w:val="single" w:color="D1D1D1" w:sz="6" w:space="0"/>
              <w:bottom w:val="single" w:color="D1D1D1" w:sz="6" w:space="0"/>
              <w:right w:val="single" w:color="D1D1D1" w:sz="6" w:space="0"/>
            </w:tcBorders>
            <w:shd w:val="clear" w:color="auto" w:fill="FFFFFF"/>
            <w:tcMar>
              <w:left w:w="101" w:type="dxa"/>
              <w:right w:w="101" w:type="dxa"/>
            </w:tcMar>
            <w:vAlign w:val="center"/>
          </w:tcPr>
          <w:p w14:paraId="66313836">
            <w:pPr>
              <w:pStyle w:val="2"/>
              <w:bidi w:val="0"/>
              <w:rPr>
                <w:rFonts w:hint="eastAsia"/>
              </w:rPr>
            </w:pPr>
            <w:r>
              <w:rPr>
                <w:rFonts w:hint="eastAsia"/>
              </w:rPr>
              <w:t>16.73</w:t>
            </w:r>
          </w:p>
        </w:tc>
        <w:tc>
          <w:tcPr>
            <w:tcW w:w="655" w:type="dxa"/>
            <w:tcBorders>
              <w:top w:val="single" w:color="D1D1D1" w:sz="6" w:space="0"/>
              <w:left w:val="single" w:color="D1D1D1" w:sz="6" w:space="0"/>
              <w:bottom w:val="single" w:color="D1D1D1" w:sz="6" w:space="0"/>
              <w:right w:val="single" w:color="D1D1D1" w:sz="4" w:space="0"/>
            </w:tcBorders>
            <w:shd w:val="clear" w:color="auto" w:fill="FFFFFF"/>
            <w:tcMar>
              <w:left w:w="101" w:type="dxa"/>
              <w:right w:w="101" w:type="dxa"/>
            </w:tcMar>
            <w:vAlign w:val="center"/>
          </w:tcPr>
          <w:p w14:paraId="462A2C3E">
            <w:pPr>
              <w:pStyle w:val="2"/>
              <w:bidi w:val="0"/>
              <w:rPr>
                <w:rFonts w:hint="eastAsia"/>
              </w:rPr>
            </w:pPr>
            <w:r>
              <w:rPr>
                <w:rFonts w:hint="eastAsia"/>
              </w:rPr>
              <w:t>35%</w:t>
            </w:r>
          </w:p>
        </w:tc>
      </w:tr>
      <w:tr w14:paraId="3E96CB7B">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427" w:hRule="atLeast"/>
        </w:trPr>
        <w:tc>
          <w:tcPr>
            <w:tcW w:w="0" w:type="auto"/>
            <w:gridSpan w:val="2"/>
            <w:tcBorders>
              <w:top w:val="single" w:color="D1D1D1" w:sz="6" w:space="0"/>
              <w:left w:val="single" w:color="D1D1D1" w:sz="4" w:space="0"/>
              <w:bottom w:val="single" w:color="D1D1D1" w:sz="4" w:space="0"/>
              <w:right w:val="single" w:color="D1D1D1" w:sz="6" w:space="0"/>
            </w:tcBorders>
            <w:shd w:val="clear" w:color="auto" w:fill="FFFFFF"/>
            <w:tcMar>
              <w:left w:w="101" w:type="dxa"/>
              <w:right w:w="101" w:type="dxa"/>
            </w:tcMar>
            <w:vAlign w:val="center"/>
          </w:tcPr>
          <w:p w14:paraId="797C2777">
            <w:pPr>
              <w:pStyle w:val="2"/>
              <w:bidi w:val="0"/>
              <w:rPr>
                <w:rFonts w:hint="eastAsia"/>
              </w:rPr>
            </w:pPr>
            <w:r>
              <w:rPr>
                <w:rFonts w:hint="eastAsia"/>
              </w:rPr>
              <w:t>合计</w:t>
            </w:r>
          </w:p>
        </w:tc>
        <w:tc>
          <w:tcPr>
            <w:tcW w:w="1143" w:type="dxa"/>
            <w:tcBorders>
              <w:top w:val="single" w:color="D1D1D1" w:sz="6" w:space="0"/>
              <w:left w:val="single" w:color="D1D1D1" w:sz="6" w:space="0"/>
              <w:bottom w:val="single" w:color="D1D1D1" w:sz="4" w:space="0"/>
              <w:right w:val="single" w:color="D1D1D1" w:sz="6" w:space="0"/>
            </w:tcBorders>
            <w:shd w:val="clear" w:color="auto" w:fill="FFFFFF"/>
            <w:tcMar>
              <w:left w:w="101" w:type="dxa"/>
              <w:right w:w="101" w:type="dxa"/>
            </w:tcMar>
            <w:vAlign w:val="center"/>
          </w:tcPr>
          <w:p w14:paraId="163404DF">
            <w:pPr>
              <w:pStyle w:val="2"/>
              <w:bidi w:val="0"/>
              <w:rPr>
                <w:rFonts w:hint="eastAsia"/>
              </w:rPr>
            </w:pPr>
            <w:r>
              <w:rPr>
                <w:rFonts w:hint="eastAsia"/>
              </w:rPr>
              <w:t>200200</w:t>
            </w:r>
          </w:p>
        </w:tc>
        <w:tc>
          <w:tcPr>
            <w:tcW w:w="1298" w:type="dxa"/>
            <w:tcBorders>
              <w:top w:val="single" w:color="D1D1D1" w:sz="6" w:space="0"/>
              <w:left w:val="single" w:color="D1D1D1" w:sz="6" w:space="0"/>
              <w:bottom w:val="single" w:color="D1D1D1" w:sz="4" w:space="0"/>
              <w:right w:val="single" w:color="D1D1D1" w:sz="6" w:space="0"/>
            </w:tcBorders>
            <w:shd w:val="clear" w:color="auto" w:fill="FFFFFF"/>
            <w:tcMar>
              <w:left w:w="101" w:type="dxa"/>
              <w:right w:w="101" w:type="dxa"/>
            </w:tcMar>
            <w:vAlign w:val="center"/>
          </w:tcPr>
          <w:p w14:paraId="46D7FCC2">
            <w:pPr>
              <w:pStyle w:val="2"/>
              <w:bidi w:val="0"/>
              <w:rPr>
                <w:rFonts w:hint="eastAsia"/>
              </w:rPr>
            </w:pPr>
            <w:r>
              <w:rPr>
                <w:rFonts w:hint="eastAsia"/>
              </w:rPr>
              <w:t>--</w:t>
            </w:r>
          </w:p>
        </w:tc>
        <w:tc>
          <w:tcPr>
            <w:tcW w:w="784" w:type="dxa"/>
            <w:tcBorders>
              <w:top w:val="single" w:color="D1D1D1" w:sz="6" w:space="0"/>
              <w:left w:val="single" w:color="D1D1D1" w:sz="6" w:space="0"/>
              <w:bottom w:val="single" w:color="D1D1D1" w:sz="4" w:space="0"/>
              <w:right w:val="single" w:color="D1D1D1" w:sz="6" w:space="0"/>
            </w:tcBorders>
            <w:shd w:val="clear" w:color="auto" w:fill="FFFFFF"/>
            <w:tcMar>
              <w:left w:w="101" w:type="dxa"/>
              <w:right w:w="101" w:type="dxa"/>
            </w:tcMar>
            <w:vAlign w:val="center"/>
          </w:tcPr>
          <w:p w14:paraId="70C9E432">
            <w:pPr>
              <w:pStyle w:val="2"/>
              <w:bidi w:val="0"/>
              <w:rPr>
                <w:rFonts w:hint="eastAsia"/>
              </w:rPr>
            </w:pPr>
            <w:r>
              <w:rPr>
                <w:rFonts w:hint="eastAsia"/>
              </w:rPr>
              <w:t>48.15</w:t>
            </w:r>
          </w:p>
        </w:tc>
        <w:tc>
          <w:tcPr>
            <w:tcW w:w="655" w:type="dxa"/>
            <w:tcBorders>
              <w:top w:val="single" w:color="D1D1D1" w:sz="6" w:space="0"/>
              <w:left w:val="single" w:color="D1D1D1" w:sz="6" w:space="0"/>
              <w:bottom w:val="single" w:color="D1D1D1" w:sz="4" w:space="0"/>
              <w:right w:val="single" w:color="D1D1D1" w:sz="4" w:space="0"/>
            </w:tcBorders>
            <w:shd w:val="clear" w:color="auto" w:fill="FFFFFF"/>
            <w:tcMar>
              <w:left w:w="101" w:type="dxa"/>
              <w:right w:w="101" w:type="dxa"/>
            </w:tcMar>
            <w:vAlign w:val="center"/>
          </w:tcPr>
          <w:p w14:paraId="5030260C">
            <w:pPr>
              <w:pStyle w:val="2"/>
              <w:bidi w:val="0"/>
              <w:rPr>
                <w:rFonts w:hint="eastAsia"/>
              </w:rPr>
            </w:pPr>
            <w:r>
              <w:rPr>
                <w:rFonts w:hint="eastAsia"/>
              </w:rPr>
              <w:t>100%</w:t>
            </w:r>
          </w:p>
        </w:tc>
      </w:tr>
    </w:tbl>
    <w:p w14:paraId="733160D5">
      <w:pPr>
        <w:pStyle w:val="2"/>
        <w:bidi w:val="0"/>
        <w:rPr>
          <w:rFonts w:hint="eastAsia"/>
        </w:rPr>
      </w:pPr>
      <w:r>
        <w:rPr>
          <w:rFonts w:hint="eastAsia"/>
        </w:rPr>
        <w:t>注：本次采购根据业务量采用全量落档结算方式，按照业务量对应区间结算。</w:t>
      </w:r>
    </w:p>
    <w:p w14:paraId="727AF487">
      <w:pPr>
        <w:pStyle w:val="2"/>
        <w:bidi w:val="0"/>
        <w:rPr>
          <w:rFonts w:hint="eastAsia"/>
        </w:rPr>
      </w:pPr>
      <w:r>
        <w:rPr>
          <w:rFonts w:hint="eastAsia"/>
        </w:rPr>
        <w:t>四、投标人资格条件：</w:t>
      </w:r>
    </w:p>
    <w:p w14:paraId="3AE5769F">
      <w:pPr>
        <w:pStyle w:val="2"/>
        <w:bidi w:val="0"/>
        <w:rPr>
          <w:rFonts w:hint="eastAsia"/>
        </w:rPr>
      </w:pPr>
      <w:r>
        <w:rPr>
          <w:rFonts w:hint="eastAsia"/>
        </w:rPr>
        <w:t>4.1 投标人须遵守《中华人民共和国招标投标法》及其它相关的国家法律、行政法规的规定，具有良好的</w:t>
      </w:r>
      <w:r>
        <w:rPr>
          <w:rFonts w:hint="eastAsia"/>
        </w:rPr>
        <w:fldChar w:fldCharType="begin"/>
      </w:r>
      <w:r>
        <w:rPr>
          <w:rFonts w:hint="eastAsia"/>
        </w:rPr>
        <w:instrText xml:space="preserve"> HYPERLINK "javascript:setPayZixun()" </w:instrText>
      </w:r>
      <w:r>
        <w:rPr>
          <w:rFonts w:hint="eastAsia"/>
        </w:rPr>
        <w:fldChar w:fldCharType="separate"/>
      </w:r>
      <w:r>
        <w:rPr>
          <w:rStyle w:val="5"/>
          <w:rFonts w:hint="eastAsia" w:ascii="宋体" w:hAnsi="宋体" w:eastAsia="宋体" w:cs="宋体"/>
          <w:i w:val="0"/>
          <w:iCs w:val="0"/>
          <w:caps w:val="0"/>
          <w:color w:val="4577DC"/>
          <w:spacing w:val="0"/>
          <w:szCs w:val="24"/>
          <w:u w:val="none"/>
          <w:bdr w:val="none" w:color="auto" w:sz="0" w:space="0"/>
          <w:shd w:val="clear" w:fill="FAFAFA"/>
        </w:rPr>
        <w:t>信誉</w:t>
      </w:r>
      <w:r>
        <w:rPr>
          <w:rFonts w:hint="eastAsia"/>
        </w:rPr>
        <w:fldChar w:fldCharType="end"/>
      </w:r>
      <w:r>
        <w:rPr>
          <w:rFonts w:hint="eastAsia"/>
        </w:rPr>
        <w:t>和诚实的商业道德，具有独立承担民事责任的能力，合法运作并独立于招标人和招标代理机构。提供法人或其他组织的营业执照等证明文件，复印件加盖公章。</w:t>
      </w:r>
    </w:p>
    <w:p w14:paraId="32F67725">
      <w:pPr>
        <w:pStyle w:val="2"/>
        <w:bidi w:val="0"/>
        <w:rPr>
          <w:rFonts w:hint="eastAsia"/>
        </w:rPr>
      </w:pPr>
      <w:r>
        <w:rPr>
          <w:rFonts w:hint="eastAsia"/>
        </w:rPr>
        <w:t>4.2 投标人须为一般纳税人，能够自行开具增值税专用发票，提供2024年1月1日以来开具的增值税专用发票（税率6%）复印件加盖公章。</w:t>
      </w:r>
    </w:p>
    <w:p w14:paraId="7F7FB625">
      <w:pPr>
        <w:pStyle w:val="2"/>
        <w:bidi w:val="0"/>
        <w:rPr>
          <w:rFonts w:hint="eastAsia"/>
        </w:rPr>
      </w:pPr>
      <w:r>
        <w:rPr>
          <w:rFonts w:hint="eastAsia"/>
        </w:rPr>
        <w:t>4.3投标人须具备为本项目提供服务的能力，能够满足本次项目</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5"/>
          <w:rFonts w:hint="eastAsia" w:ascii="宋体" w:hAnsi="宋体" w:eastAsia="宋体" w:cs="宋体"/>
          <w:i w:val="0"/>
          <w:iCs w:val="0"/>
          <w:caps w:val="0"/>
          <w:color w:val="4577DC"/>
          <w:spacing w:val="0"/>
          <w:szCs w:val="24"/>
          <w:u w:val="none"/>
          <w:bdr w:val="none" w:color="auto" w:sz="0" w:space="0"/>
          <w:shd w:val="clear" w:fill="FAFAFA"/>
        </w:rPr>
        <w:t>招标文件</w:t>
      </w:r>
      <w:r>
        <w:rPr>
          <w:rFonts w:hint="eastAsia"/>
        </w:rPr>
        <w:fldChar w:fldCharType="end"/>
      </w:r>
      <w:r>
        <w:rPr>
          <w:rFonts w:hint="eastAsia"/>
        </w:rPr>
        <w:t>中提出的相关重要技术要求和服务标准。（须提供承诺书并加盖公章）。</w:t>
      </w:r>
    </w:p>
    <w:p w14:paraId="2026B339">
      <w:pPr>
        <w:pStyle w:val="2"/>
        <w:bidi w:val="0"/>
        <w:rPr>
          <w:rFonts w:hint="eastAsia"/>
        </w:rPr>
      </w:pPr>
      <w:r>
        <w:rPr>
          <w:rFonts w:hint="eastAsia"/>
        </w:rPr>
        <w:t>4.4投标人参加采购活动近三年内（成立时间不足三年的、自成立时间起）无重大事故、在经营活动中无重大违法、违规记录，查询地址：国家企业</w:t>
      </w:r>
      <w:r>
        <w:rPr>
          <w:rFonts w:hint="eastAsia"/>
        </w:rPr>
        <w:fldChar w:fldCharType="begin"/>
      </w:r>
      <w:r>
        <w:rPr>
          <w:rFonts w:hint="eastAsia"/>
        </w:rPr>
        <w:instrText xml:space="preserve"> HYPERLINK "javascript:setPayZixun()" </w:instrText>
      </w:r>
      <w:r>
        <w:rPr>
          <w:rFonts w:hint="eastAsia"/>
        </w:rPr>
        <w:fldChar w:fldCharType="separate"/>
      </w:r>
      <w:r>
        <w:rPr>
          <w:rStyle w:val="5"/>
          <w:rFonts w:hint="eastAsia" w:ascii="宋体" w:hAnsi="宋体" w:eastAsia="宋体" w:cs="宋体"/>
          <w:i w:val="0"/>
          <w:iCs w:val="0"/>
          <w:caps w:val="0"/>
          <w:color w:val="4577DC"/>
          <w:spacing w:val="0"/>
          <w:szCs w:val="24"/>
          <w:u w:val="none"/>
          <w:bdr w:val="none" w:color="auto" w:sz="0" w:space="0"/>
          <w:shd w:val="clear" w:fill="FAFAFA"/>
        </w:rPr>
        <w:t>信用</w:t>
      </w:r>
      <w:r>
        <w:rPr>
          <w:rFonts w:hint="eastAsia"/>
        </w:rPr>
        <w:fldChar w:fldCharType="end"/>
      </w:r>
      <w:r>
        <w:rPr>
          <w:rFonts w:hint="eastAsia"/>
        </w:rPr>
        <w:t>信息公示系统http://www.gsxt.gov.cn/index.html（提供承诺书和网站查询截图，采购人将进行核实，以采购人在国家企业信用信息公示系统核实信息为准）。</w:t>
      </w:r>
    </w:p>
    <w:p w14:paraId="4D09003E">
      <w:pPr>
        <w:pStyle w:val="2"/>
        <w:bidi w:val="0"/>
        <w:rPr>
          <w:rFonts w:hint="eastAsia"/>
        </w:rPr>
      </w:pPr>
      <w:r>
        <w:rPr>
          <w:rFonts w:hint="eastAsia"/>
        </w:rPr>
        <w:t>4.5投标人在信用中国网站未被列入</w:t>
      </w:r>
      <w:r>
        <w:rPr>
          <w:rFonts w:hint="eastAsia"/>
        </w:rPr>
        <w:fldChar w:fldCharType="begin"/>
      </w:r>
      <w:r>
        <w:rPr>
          <w:rFonts w:hint="eastAsia"/>
        </w:rPr>
        <w:instrText xml:space="preserve"> HYPERLINK "javascript:setPayZixun()" </w:instrText>
      </w:r>
      <w:r>
        <w:rPr>
          <w:rFonts w:hint="eastAsia"/>
        </w:rPr>
        <w:fldChar w:fldCharType="separate"/>
      </w:r>
      <w:r>
        <w:rPr>
          <w:rStyle w:val="5"/>
          <w:rFonts w:hint="eastAsia" w:ascii="宋体" w:hAnsi="宋体" w:eastAsia="宋体" w:cs="宋体"/>
          <w:i w:val="0"/>
          <w:iCs w:val="0"/>
          <w:caps w:val="0"/>
          <w:color w:val="4577DC"/>
          <w:spacing w:val="0"/>
          <w:szCs w:val="24"/>
          <w:u w:val="none"/>
          <w:bdr w:val="none" w:color="auto" w:sz="0" w:space="0"/>
          <w:shd w:val="clear" w:fill="FAFAFA"/>
        </w:rPr>
        <w:t>失信</w:t>
      </w:r>
      <w:r>
        <w:rPr>
          <w:rFonts w:hint="eastAsia"/>
        </w:rPr>
        <w:fldChar w:fldCharType="end"/>
      </w:r>
      <w:r>
        <w:rPr>
          <w:rFonts w:hint="eastAsia"/>
        </w:rPr>
        <w:t>被执行人、重大税收违法案件当事人名单、企业经营异常名录失信行为记录名单，查询地址：http://www.creditchina.gov.cn/（提供承诺书和网站查询截图，采购人将进行核实，以采购人在信用中国网站核实信息为准）。</w:t>
      </w:r>
    </w:p>
    <w:p w14:paraId="46A92A84">
      <w:pPr>
        <w:pStyle w:val="2"/>
        <w:bidi w:val="0"/>
        <w:rPr>
          <w:rFonts w:hint="eastAsia"/>
        </w:rPr>
      </w:pPr>
      <w:r>
        <w:rPr>
          <w:rFonts w:hint="eastAsia"/>
        </w:rPr>
        <w:t>4.6投标人存在公开招标规定的不得参加投标的常规情形，不接受报名（须提供承诺书并加盖公章）。</w:t>
      </w:r>
    </w:p>
    <w:p w14:paraId="60F76CBA">
      <w:pPr>
        <w:pStyle w:val="2"/>
        <w:bidi w:val="0"/>
        <w:rPr>
          <w:rFonts w:hint="eastAsia"/>
        </w:rPr>
      </w:pPr>
      <w:r>
        <w:rPr>
          <w:rFonts w:hint="eastAsia"/>
        </w:rPr>
        <w:t>4.7投标人单位负责人为同一人或者存在直接控股、管理关系的不同供应商，不得参加同一分包或者未划分分包的同一项目采购活动。（须提供承诺书并加盖公章）。</w:t>
      </w:r>
    </w:p>
    <w:p w14:paraId="39963384">
      <w:pPr>
        <w:pStyle w:val="2"/>
        <w:bidi w:val="0"/>
        <w:rPr>
          <w:rFonts w:hint="eastAsia"/>
        </w:rPr>
      </w:pPr>
      <w:r>
        <w:rPr>
          <w:rFonts w:hint="eastAsia"/>
        </w:rPr>
        <w:t>4.8与邮政无投资关系且存在以下情况的，不得参加采购活动：邮政领导人员及其亲属和其他特定关系人、邮政员工持股（限非上市公司），以个人身份（组织委派的除外）担任法人、董事长、总经理、监事的企业，以及邮政所属工会或员工集体出资成立的企业（须提供承诺书并加盖公章）。</w:t>
      </w:r>
    </w:p>
    <w:p w14:paraId="5E5BEA0E">
      <w:pPr>
        <w:pStyle w:val="2"/>
        <w:bidi w:val="0"/>
        <w:rPr>
          <w:rFonts w:hint="eastAsia"/>
        </w:rPr>
      </w:pPr>
      <w:r>
        <w:rPr>
          <w:rFonts w:hint="eastAsia"/>
        </w:rPr>
        <w:t>4.9本项目不接受被中国邮政集团有限公司或江苏省分公司或盐城市分公司列入黑名单且在限制范围内（包括期限及区域）的供应商参加（须提供承诺书并加盖公章）。</w:t>
      </w:r>
    </w:p>
    <w:p w14:paraId="40C13D99">
      <w:pPr>
        <w:pStyle w:val="2"/>
        <w:bidi w:val="0"/>
        <w:rPr>
          <w:rFonts w:hint="eastAsia"/>
        </w:rPr>
      </w:pPr>
      <w:r>
        <w:rPr>
          <w:rFonts w:hint="eastAsia"/>
        </w:rPr>
        <w:t>4.10本项目不接受联合体参加，且不得分包、转包。（须提供承诺书并加盖公章）。</w:t>
      </w:r>
    </w:p>
    <w:p w14:paraId="072F416B">
      <w:pPr>
        <w:pStyle w:val="2"/>
        <w:bidi w:val="0"/>
        <w:rPr>
          <w:rFonts w:hint="eastAsia"/>
        </w:rPr>
      </w:pPr>
      <w:r>
        <w:rPr>
          <w:rFonts w:hint="eastAsia"/>
        </w:rPr>
        <w:t>4.11 投标人自2022年10月1日以来独立承担过类似配送服务项目（投标时须提供合同复印件加盖公章，原件备查）。</w:t>
      </w:r>
    </w:p>
    <w:p w14:paraId="03A1962B">
      <w:pPr>
        <w:pStyle w:val="2"/>
        <w:bidi w:val="0"/>
        <w:rPr>
          <w:rFonts w:hint="eastAsia"/>
        </w:rPr>
      </w:pPr>
      <w:r>
        <w:rPr>
          <w:rFonts w:hint="eastAsia"/>
        </w:rPr>
        <w:t>注：本次资格审查采用资格后审制，资格审查标准和内容详见招标文件。投标人须按照“第四章</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5"/>
          <w:rFonts w:hint="eastAsia" w:ascii="宋体" w:hAnsi="宋体" w:eastAsia="宋体" w:cs="宋体"/>
          <w:b/>
          <w:bCs/>
          <w:i w:val="0"/>
          <w:iCs w:val="0"/>
          <w:caps w:val="0"/>
          <w:color w:val="4577DC"/>
          <w:spacing w:val="0"/>
          <w:szCs w:val="24"/>
          <w:u w:val="none"/>
          <w:bdr w:val="none" w:color="auto" w:sz="0" w:space="0"/>
          <w:shd w:val="clear" w:fill="FAFAFA"/>
        </w:rPr>
        <w:t>投标文件</w:t>
      </w:r>
      <w:r>
        <w:rPr>
          <w:rFonts w:hint="eastAsia"/>
        </w:rPr>
        <w:fldChar w:fldCharType="end"/>
      </w:r>
      <w:r>
        <w:rPr>
          <w:rFonts w:hint="eastAsia"/>
        </w:rPr>
        <w:t>格式”的要求提供上述资格要求的有效证明材料，否则，其投标将被否决。</w:t>
      </w:r>
    </w:p>
    <w:p w14:paraId="186727DF">
      <w:pPr>
        <w:pStyle w:val="2"/>
        <w:bidi w:val="0"/>
        <w:rPr>
          <w:rFonts w:hint="eastAsia"/>
        </w:rPr>
      </w:pPr>
      <w:r>
        <w:rPr>
          <w:rFonts w:hint="eastAsia"/>
        </w:rPr>
        <w:t>五、招标文件的获取方式：</w:t>
      </w:r>
    </w:p>
    <w:p w14:paraId="1EF167CD">
      <w:pPr>
        <w:pStyle w:val="2"/>
        <w:bidi w:val="0"/>
        <w:rPr>
          <w:rFonts w:hint="eastAsia"/>
        </w:rPr>
      </w:pPr>
      <w:r>
        <w:rPr>
          <w:rFonts w:hint="eastAsia"/>
        </w:rPr>
        <w:t>5.1 办理CA证书</w:t>
      </w:r>
    </w:p>
    <w:p w14:paraId="29B498F2">
      <w:pPr>
        <w:pStyle w:val="2"/>
        <w:bidi w:val="0"/>
        <w:rPr>
          <w:rFonts w:hint="eastAsia"/>
        </w:rPr>
      </w:pPr>
      <w:r>
        <w:rPr>
          <w:rFonts w:hint="eastAsia"/>
        </w:rPr>
        <w:t>登录“中国邮政电子采购与供应平台”（网址：https://cg.11185.cn）办理CA证书等。流程：注册→登录→【CA办理】→查找对应项目→报名→填写相关信息→审核→下载招标文件。CA证书办理、“中国邮政电子采购与供应平台”操作相关事宜请下载“平台首页—用户中心—下载中心—下载：中国邮政电子采购与供应平台操作手册-电子采购分册-投标人”，或可联系客服电话：400-898-8881，CA客服电话：400-788-8550 （周一～周五9:00-17:00）。</w:t>
      </w:r>
    </w:p>
    <w:p w14:paraId="0902A016">
      <w:pPr>
        <w:pStyle w:val="2"/>
        <w:bidi w:val="0"/>
        <w:rPr>
          <w:rFonts w:hint="eastAsia"/>
        </w:rPr>
      </w:pPr>
      <w:r>
        <w:rPr>
          <w:rFonts w:hint="eastAsia"/>
        </w:rPr>
        <w:t>5.2 获取招标文件</w:t>
      </w:r>
    </w:p>
    <w:p w14:paraId="1F976C38">
      <w:pPr>
        <w:pStyle w:val="2"/>
        <w:bidi w:val="0"/>
        <w:rPr>
          <w:rFonts w:hint="eastAsia"/>
        </w:rPr>
      </w:pPr>
      <w:r>
        <w:rPr>
          <w:rFonts w:hint="eastAsia"/>
        </w:rPr>
        <w:t>（1）招标文件购买：文件购买不接受现金。“转账事由”填写：“盐城邮政杨阳快消同城配送+标书费”，招标文件每套售价【500】元人民币，开具增值税普通电子发票，售后不退。</w:t>
      </w:r>
    </w:p>
    <w:p w14:paraId="76FEC17B">
      <w:pPr>
        <w:pStyle w:val="2"/>
        <w:bidi w:val="0"/>
        <w:rPr>
          <w:rFonts w:hint="eastAsia"/>
        </w:rPr>
      </w:pPr>
      <w:r>
        <w:rPr>
          <w:rFonts w:hint="eastAsia"/>
        </w:rPr>
        <w:t>收款账号户名：中通服网盈科技有限公司</w:t>
      </w:r>
    </w:p>
    <w:p w14:paraId="29E4D996">
      <w:pPr>
        <w:pStyle w:val="2"/>
        <w:bidi w:val="0"/>
        <w:rPr>
          <w:rFonts w:hint="eastAsia"/>
        </w:rPr>
      </w:pPr>
      <w:r>
        <w:rPr>
          <w:rFonts w:hint="eastAsia"/>
        </w:rPr>
        <w:t>收款账号开户行：招商银行股份有限公司南京城北支行</w:t>
      </w:r>
    </w:p>
    <w:p w14:paraId="01B119EB">
      <w:pPr>
        <w:pStyle w:val="2"/>
        <w:bidi w:val="0"/>
        <w:rPr>
          <w:rFonts w:hint="eastAsia"/>
        </w:rPr>
      </w:pPr>
      <w:r>
        <w:rPr>
          <w:rFonts w:hint="eastAsia"/>
        </w:rPr>
        <w:t>账号：75594024621070100003129</w:t>
      </w:r>
    </w:p>
    <w:p w14:paraId="72E03A76">
      <w:pPr>
        <w:pStyle w:val="2"/>
        <w:bidi w:val="0"/>
        <w:rPr>
          <w:rFonts w:hint="eastAsia"/>
        </w:rPr>
      </w:pPr>
      <w:r>
        <w:rPr>
          <w:rFonts w:hint="eastAsia"/>
        </w:rPr>
        <w:t>（2）报名单位将支付成功的凭证截图上传至中国邮政电子采购与供应平台系统，并同时上传以下加盖单位公章的文件复印件 1 套：营业执照副本（三证合一）、法人代表身份证、法人授权委托书及其代理人身份证。待招标代理机构审核通过以后即可下载招标文件。</w:t>
      </w:r>
    </w:p>
    <w:p w14:paraId="38D3C319">
      <w:pPr>
        <w:pStyle w:val="2"/>
        <w:bidi w:val="0"/>
        <w:rPr>
          <w:rFonts w:hint="eastAsia"/>
        </w:rPr>
      </w:pPr>
      <w:r>
        <w:rPr>
          <w:rFonts w:hint="eastAsia"/>
        </w:rPr>
        <w:t>注：在中国邮政电子采购与供应平台（网址：</w:t>
      </w:r>
      <w:r>
        <w:rPr>
          <w:rFonts w:hint="eastAsia"/>
        </w:rPr>
        <w:fldChar w:fldCharType="begin"/>
      </w:r>
      <w:r>
        <w:rPr>
          <w:rFonts w:hint="eastAsia"/>
        </w:rPr>
        <w:instrText xml:space="preserve"> HYPERLINK "https://cg.11185.xn--cn)-4d0fr10a/" </w:instrText>
      </w:r>
      <w:r>
        <w:rPr>
          <w:rFonts w:hint="eastAsia"/>
        </w:rPr>
        <w:fldChar w:fldCharType="separate"/>
      </w:r>
      <w:r>
        <w:rPr>
          <w:rStyle w:val="5"/>
          <w:rFonts w:hint="eastAsia" w:ascii="宋体" w:hAnsi="宋体" w:eastAsia="宋体" w:cs="宋体"/>
          <w:i w:val="0"/>
          <w:iCs w:val="0"/>
          <w:caps w:val="0"/>
          <w:color w:val="000000"/>
          <w:spacing w:val="0"/>
          <w:szCs w:val="24"/>
          <w:u w:val="none"/>
          <w:bdr w:val="none" w:color="auto" w:sz="0" w:space="0"/>
          <w:shd w:val="clear" w:fill="FAFAFA"/>
        </w:rPr>
        <w:t>https://cg.11185.cn）完成“下载招标文件”的操作。</w:t>
      </w:r>
      <w:r>
        <w:rPr>
          <w:rFonts w:hint="eastAsia"/>
        </w:rPr>
        <w:fldChar w:fldCharType="end"/>
      </w:r>
    </w:p>
    <w:p w14:paraId="21DEA3D4">
      <w:pPr>
        <w:pStyle w:val="2"/>
        <w:bidi w:val="0"/>
        <w:rPr>
          <w:rFonts w:hint="eastAsia"/>
        </w:rPr>
      </w:pPr>
      <w:r>
        <w:rPr>
          <w:rFonts w:hint="eastAsia"/>
        </w:rPr>
        <w:t>5.3招标文件出售时间：</w:t>
      </w:r>
    </w:p>
    <w:p w14:paraId="1ABA6633">
      <w:pPr>
        <w:pStyle w:val="2"/>
        <w:bidi w:val="0"/>
        <w:rPr>
          <w:rFonts w:hint="eastAsia"/>
        </w:rPr>
      </w:pPr>
      <w:r>
        <w:rPr>
          <w:rFonts w:hint="eastAsia"/>
        </w:rPr>
        <w:t>（1）购买/发放招标文件时间：2025年11月5日-2025年11月10日，工作日上午9：00至12：00，下午14：00至17：30；</w:t>
      </w:r>
    </w:p>
    <w:p w14:paraId="700CB17C">
      <w:pPr>
        <w:pStyle w:val="2"/>
        <w:bidi w:val="0"/>
        <w:rPr>
          <w:rFonts w:hint="eastAsia"/>
        </w:rPr>
      </w:pPr>
      <w:r>
        <w:rPr>
          <w:rFonts w:hint="eastAsia"/>
        </w:rPr>
        <w:t>（2）购买/发放招标文件联系人及电话：高芳 18912500909</w:t>
      </w:r>
    </w:p>
    <w:p w14:paraId="7B7799B9">
      <w:pPr>
        <w:pStyle w:val="2"/>
        <w:bidi w:val="0"/>
        <w:rPr>
          <w:rFonts w:hint="eastAsia"/>
        </w:rPr>
      </w:pPr>
      <w:r>
        <w:rPr>
          <w:rFonts w:hint="eastAsia"/>
        </w:rPr>
        <w:t>注：投标人须在“中国邮政电子采购与供应平台”（网址：https://cg.11185.cn）完成“下载招标文件”的操作。</w:t>
      </w:r>
    </w:p>
    <w:p w14:paraId="4E51BC72">
      <w:pPr>
        <w:pStyle w:val="2"/>
        <w:bidi w:val="0"/>
        <w:rPr>
          <w:rFonts w:hint="eastAsia"/>
        </w:rPr>
      </w:pPr>
      <w:r>
        <w:rPr>
          <w:rFonts w:hint="eastAsia"/>
        </w:rPr>
        <w:t>六、投标文件的递交：</w:t>
      </w:r>
    </w:p>
    <w:p w14:paraId="7D0ECF82">
      <w:pPr>
        <w:pStyle w:val="2"/>
        <w:bidi w:val="0"/>
        <w:rPr>
          <w:rFonts w:hint="eastAsia"/>
        </w:rPr>
      </w:pPr>
      <w:r>
        <w:rPr>
          <w:rFonts w:hint="eastAsia"/>
        </w:rPr>
        <w:t>6.1 递交平台、递交时间、签到。电子版与纸质版投标文件递交的截止时间均为2025年11月26日15:00（北京时间），投标人应在截止时间前通过“中国邮政电子采购与供应平台”（网址：</w:t>
      </w:r>
      <w:r>
        <w:rPr>
          <w:rFonts w:hint="eastAsia"/>
        </w:rPr>
        <w:fldChar w:fldCharType="begin"/>
      </w:r>
      <w:r>
        <w:rPr>
          <w:rFonts w:hint="eastAsia"/>
        </w:rPr>
        <w:instrText xml:space="preserve"> HYPERLINK "https://cg.11185.xn--cn),202511-cw3py4an26ac3p6vo6wbp7u4a651r41nlvh6yf7u5etxojwhx03p/" </w:instrText>
      </w:r>
      <w:r>
        <w:rPr>
          <w:rFonts w:hint="eastAsia"/>
        </w:rPr>
        <w:fldChar w:fldCharType="separate"/>
      </w:r>
      <w:r>
        <w:rPr>
          <w:rStyle w:val="5"/>
          <w:rFonts w:hint="eastAsia" w:ascii="宋体" w:hAnsi="宋体" w:eastAsia="宋体" w:cs="宋体"/>
          <w:i w:val="0"/>
          <w:iCs w:val="0"/>
          <w:caps w:val="0"/>
          <w:color w:val="000000"/>
          <w:spacing w:val="0"/>
          <w:szCs w:val="24"/>
          <w:u w:val="single"/>
          <w:bdr w:val="none" w:color="auto" w:sz="0" w:space="0"/>
          <w:shd w:val="clear" w:fill="FAFAFA"/>
        </w:rPr>
        <w:t>https://cg.11185.cn）递交加密的电子版投标文件，</w:t>
      </w:r>
      <w:r>
        <w:rPr>
          <w:rStyle w:val="5"/>
          <w:rFonts w:hint="eastAsia" w:ascii="宋体" w:hAnsi="宋体" w:eastAsia="宋体" w:cs="宋体"/>
          <w:b/>
          <w:bCs/>
          <w:i w:val="0"/>
          <w:iCs w:val="0"/>
          <w:caps w:val="0"/>
          <w:color w:val="000000"/>
          <w:spacing w:val="0"/>
          <w:szCs w:val="24"/>
          <w:u w:val="single"/>
          <w:bdr w:val="none" w:color="auto" w:sz="0" w:space="0"/>
          <w:shd w:val="clear" w:fill="FAFAFA"/>
        </w:rPr>
        <w:t>并在</w:t>
      </w:r>
      <w:r>
        <w:rPr>
          <w:rStyle w:val="5"/>
          <w:rFonts w:hint="eastAsia" w:ascii="宋体" w:hAnsi="宋体" w:eastAsia="宋体" w:cs="宋体"/>
          <w:b/>
          <w:bCs/>
          <w:i w:val="0"/>
          <w:iCs w:val="0"/>
          <w:caps w:val="0"/>
          <w:color w:val="000000"/>
          <w:spacing w:val="0"/>
          <w:szCs w:val="24"/>
          <w:u w:val="single"/>
          <w:bdr w:val="none" w:color="auto" w:sz="0" w:space="0"/>
          <w:shd w:val="clear" w:fill="FFFF00"/>
        </w:rPr>
        <w:t>2025年11月</w:t>
      </w:r>
      <w:r>
        <w:rPr>
          <w:rFonts w:hint="eastAsia"/>
        </w:rPr>
        <w:fldChar w:fldCharType="end"/>
      </w:r>
      <w:r>
        <w:rPr>
          <w:rFonts w:hint="eastAsia"/>
        </w:rPr>
        <w:t>26日14:30-15:00（北京时间）现场完成纸质版投标文件和电子版投标文件“签到”流程。</w:t>
      </w:r>
    </w:p>
    <w:p w14:paraId="4F571C7D">
      <w:pPr>
        <w:pStyle w:val="2"/>
        <w:bidi w:val="0"/>
        <w:rPr>
          <w:rFonts w:hint="eastAsia"/>
        </w:rPr>
      </w:pPr>
      <w:r>
        <w:rPr>
          <w:rFonts w:hint="eastAsia"/>
        </w:rPr>
        <w:t>6.2 纸质版投标文件递交及电子版投标文件解密地点：江苏省盐城市解放中路8号邮政大楼13楼会议室。投标人须派代表当面递交纸质版投标文件，电子版标书可远程解密，但不得影响开标后现场解密电子版投标文件。逾期递交的纸质版投标文件以及不符合规定的纸质版和电子版投标文件将被拒绝。</w:t>
      </w:r>
    </w:p>
    <w:p w14:paraId="245B3808">
      <w:pPr>
        <w:pStyle w:val="2"/>
        <w:bidi w:val="0"/>
        <w:rPr>
          <w:rFonts w:hint="eastAsia"/>
        </w:rPr>
      </w:pPr>
      <w:r>
        <w:rPr>
          <w:rFonts w:hint="eastAsia"/>
        </w:rPr>
        <w:t>6.3 加密、解密。投标人须在开标前对“中国邮政电子采购与供应平台”（网址：https://cg.11185.cn）递交的电子版投标文件进行加密。投标人须在平台下载《中国邮政投标管家》工具结合CA证书，进行电子版投标文件的编制，并在开标前进行加密后上传至平台。开标时，使用CA证书进行电子版投标文件解密。</w:t>
      </w:r>
    </w:p>
    <w:p w14:paraId="0ED42D0F">
      <w:pPr>
        <w:pStyle w:val="2"/>
        <w:bidi w:val="0"/>
        <w:rPr>
          <w:rFonts w:hint="eastAsia"/>
        </w:rPr>
      </w:pPr>
      <w:r>
        <w:rPr>
          <w:rFonts w:hint="eastAsia"/>
        </w:rPr>
        <w:t>6.4 电子版投标文件与纸质版投标文件内容须相同。如出现不同时，以</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5"/>
          <w:rFonts w:hint="eastAsia" w:ascii="宋体" w:hAnsi="宋体" w:eastAsia="宋体" w:cs="宋体"/>
          <w:i w:val="0"/>
          <w:iCs w:val="0"/>
          <w:caps w:val="0"/>
          <w:color w:val="4577DC"/>
          <w:spacing w:val="0"/>
          <w:szCs w:val="24"/>
          <w:u w:val="none"/>
          <w:bdr w:val="none" w:color="auto" w:sz="0" w:space="0"/>
          <w:shd w:val="clear" w:fill="FAFAFA"/>
        </w:rPr>
        <w:t>纸质文件</w:t>
      </w:r>
      <w:r>
        <w:rPr>
          <w:rFonts w:hint="eastAsia"/>
        </w:rPr>
        <w:fldChar w:fldCharType="end"/>
      </w:r>
      <w:r>
        <w:rPr>
          <w:rFonts w:hint="eastAsia"/>
        </w:rPr>
        <w:t>为准。招标文件中要求的盖章、签字，在制作电子版投标文件时可以是有效的电子签章（包括公章的电子签章及人名的电子签章），也可以是加盖公章、签字的纸质版扫描件。（电子签章后，文档不应再修改，否则签章无效；如需修改，请修改后重新签章）。</w:t>
      </w:r>
    </w:p>
    <w:p w14:paraId="463E54AF">
      <w:pPr>
        <w:pStyle w:val="2"/>
        <w:bidi w:val="0"/>
        <w:rPr>
          <w:rFonts w:hint="eastAsia"/>
        </w:rPr>
      </w:pPr>
      <w:r>
        <w:rPr>
          <w:rFonts w:hint="eastAsia"/>
        </w:rPr>
        <w:t>6.5 电子投标文件递交及解密异常时的处理方式。当电子投标文件上传异常时，投标人须在递交投标文件截止时间后的【30分钟内】将操作失败的系统桌面的全幅截图提交招标代理机构，该投标人的投标文件以纸质投标文件为准，如也无纸质版投标文件的投标人将被否决。</w:t>
      </w:r>
    </w:p>
    <w:p w14:paraId="1E4D5DC7">
      <w:pPr>
        <w:pStyle w:val="2"/>
        <w:bidi w:val="0"/>
        <w:rPr>
          <w:rFonts w:hint="eastAsia"/>
        </w:rPr>
      </w:pPr>
      <w:r>
        <w:rPr>
          <w:rFonts w:hint="eastAsia"/>
        </w:rPr>
        <w:t>6.6 递交投标文件的设备需为投标人自主可控的电脑终端设备，不得与其他潜在供应商使用同一台电脑递交投标文件。如开标/评审后发现不同投标人上传投标文件的网卡信息/MAC地址、CPU信息/CPUID信息同时完全一致的，对本项目该投标人投标的标包/标段予以否决。</w:t>
      </w:r>
    </w:p>
    <w:p w14:paraId="5D6D0B6A">
      <w:pPr>
        <w:pStyle w:val="2"/>
        <w:bidi w:val="0"/>
        <w:rPr>
          <w:rFonts w:hint="eastAsia"/>
        </w:rPr>
      </w:pPr>
      <w:r>
        <w:rPr>
          <w:rFonts w:hint="eastAsia"/>
        </w:rPr>
        <w:t>七、开标：</w:t>
      </w:r>
    </w:p>
    <w:p w14:paraId="78574F53">
      <w:pPr>
        <w:pStyle w:val="2"/>
        <w:bidi w:val="0"/>
        <w:rPr>
          <w:rFonts w:hint="eastAsia"/>
        </w:rPr>
      </w:pPr>
      <w:r>
        <w:rPr>
          <w:rFonts w:hint="eastAsia"/>
        </w:rPr>
        <w:t>（1）开标形式：本项目采用在“中国邮政电子采购与供应平台”（网址：</w:t>
      </w:r>
      <w:r>
        <w:rPr>
          <w:rFonts w:hint="eastAsia"/>
        </w:rPr>
        <w:fldChar w:fldCharType="begin"/>
      </w:r>
      <w:r>
        <w:rPr>
          <w:rFonts w:hint="eastAsia"/>
        </w:rPr>
        <w:instrText xml:space="preserve"> HYPERLINK "https://cg.11185.xn--cn),,-7h1h49aa05eb19f080esdo45e9mlca507mca734lda012fvyfeade9271a7qy9lsza0485f1fa032hugeyr3fp6xapixga0292f./" </w:instrText>
      </w:r>
      <w:r>
        <w:rPr>
          <w:rFonts w:hint="eastAsia"/>
        </w:rPr>
        <w:fldChar w:fldCharType="separate"/>
      </w:r>
      <w:r>
        <w:rPr>
          <w:rStyle w:val="5"/>
          <w:rFonts w:hint="eastAsia" w:ascii="宋体" w:hAnsi="宋体" w:eastAsia="宋体" w:cs="宋体"/>
          <w:i w:val="0"/>
          <w:iCs w:val="0"/>
          <w:caps w:val="0"/>
          <w:color w:val="000000"/>
          <w:spacing w:val="0"/>
          <w:szCs w:val="24"/>
          <w:u w:val="none"/>
          <w:bdr w:val="none" w:color="auto" w:sz="0" w:space="0"/>
          <w:shd w:val="clear" w:fill="FAFAFA"/>
        </w:rPr>
        <w:t>https://cg.11185.cn）线上解密开标</w:t>
      </w:r>
      <w:r>
        <w:rPr>
          <w:rFonts w:hint="eastAsia"/>
        </w:rPr>
        <w:fldChar w:fldCharType="end"/>
      </w:r>
      <w:r>
        <w:rPr>
          <w:rFonts w:hint="eastAsia"/>
        </w:rPr>
        <w:t>。递交投标文件的设备需为投标人自主可控的电脑终端设备，不得与其他投标人使用同一台电脑递交投标文件。</w:t>
      </w:r>
    </w:p>
    <w:p w14:paraId="2837576D">
      <w:pPr>
        <w:pStyle w:val="2"/>
        <w:bidi w:val="0"/>
        <w:rPr>
          <w:rFonts w:hint="eastAsia"/>
        </w:rPr>
      </w:pPr>
      <w:r>
        <w:rPr>
          <w:rFonts w:hint="eastAsia"/>
        </w:rPr>
        <w:t>（2）开标时间：2025年11月26日15:00（北京时间）。投标人需在开标时间后尽快完成线上投标文件的解密，并自行查看开标结果。解密截止时间之后仍未按规定完成解密的，以递交的纸质版投标文件开标，如也无纸质版投标文件的投标人将被否决。投标人须自行考虑互联网网络及运行环境不畅、介质损坏等因素造成的风险。</w:t>
      </w:r>
    </w:p>
    <w:p w14:paraId="2FEC3C32">
      <w:pPr>
        <w:pStyle w:val="2"/>
        <w:bidi w:val="0"/>
        <w:rPr>
          <w:rFonts w:hint="eastAsia"/>
        </w:rPr>
      </w:pPr>
      <w:r>
        <w:rPr>
          <w:rFonts w:hint="eastAsia"/>
        </w:rPr>
        <w:t>（3）开标地点：江苏省盐城市解放中路8号邮政大楼13楼会议室。</w:t>
      </w:r>
    </w:p>
    <w:p w14:paraId="37560CAC">
      <w:pPr>
        <w:pStyle w:val="2"/>
        <w:bidi w:val="0"/>
        <w:rPr>
          <w:rFonts w:hint="eastAsia"/>
        </w:rPr>
      </w:pPr>
      <w:r>
        <w:rPr>
          <w:rFonts w:hint="eastAsia"/>
        </w:rPr>
        <w:t>（4）要求投标人的法定代表人或其授权委托代理人现场参与开标。</w:t>
      </w:r>
    </w:p>
    <w:p w14:paraId="44D236C3">
      <w:pPr>
        <w:pStyle w:val="2"/>
        <w:bidi w:val="0"/>
        <w:rPr>
          <w:rFonts w:hint="eastAsia"/>
        </w:rPr>
      </w:pPr>
      <w:r>
        <w:rPr>
          <w:rFonts w:hint="eastAsia"/>
        </w:rPr>
        <w:t>八、其他：</w:t>
      </w:r>
    </w:p>
    <w:p w14:paraId="5DDD3804">
      <w:pPr>
        <w:pStyle w:val="2"/>
        <w:bidi w:val="0"/>
        <w:rPr>
          <w:rFonts w:hint="eastAsia"/>
        </w:rPr>
      </w:pPr>
      <w:r>
        <w:rPr>
          <w:rFonts w:hint="eastAsia"/>
        </w:rPr>
        <w:t>本项目后期将根据采购人的实际需要，对供应商在履约期间的情况开展后</w:t>
      </w:r>
      <w:r>
        <w:rPr>
          <w:rFonts w:hint="eastAsia"/>
        </w:rPr>
        <w:fldChar w:fldCharType="begin"/>
      </w:r>
      <w:r>
        <w:rPr>
          <w:rFonts w:hint="eastAsia"/>
        </w:rPr>
        <w:instrText xml:space="preserve"> HYPERLINK "javascript:setPayZixun()" </w:instrText>
      </w:r>
      <w:r>
        <w:rPr>
          <w:rFonts w:hint="eastAsia"/>
        </w:rPr>
        <w:fldChar w:fldCharType="separate"/>
      </w:r>
      <w:r>
        <w:rPr>
          <w:rStyle w:val="5"/>
          <w:rFonts w:hint="eastAsia" w:ascii="宋体" w:hAnsi="宋体" w:eastAsia="宋体" w:cs="宋体"/>
          <w:i w:val="0"/>
          <w:iCs w:val="0"/>
          <w:caps w:val="0"/>
          <w:color w:val="4577DC"/>
          <w:spacing w:val="0"/>
          <w:szCs w:val="24"/>
          <w:u w:val="none"/>
          <w:bdr w:val="none" w:color="auto" w:sz="0" w:space="0"/>
          <w:shd w:val="clear" w:fill="FAFAFA"/>
        </w:rPr>
        <w:t>评估</w:t>
      </w:r>
      <w:r>
        <w:rPr>
          <w:rFonts w:hint="eastAsia"/>
        </w:rPr>
        <w:fldChar w:fldCharType="end"/>
      </w:r>
      <w:r>
        <w:rPr>
          <w:rFonts w:hint="eastAsia"/>
        </w:rPr>
        <w:t>，其后评估的结果将根据“中国邮政集团有限公司采购供应商管理办法”的分级标准对供应商进行分级，采购人根据分级结果对供应商采取相应的管理措施，并可根据实际需要应用于下一轮的采购项目。</w:t>
      </w:r>
    </w:p>
    <w:p w14:paraId="1E848F1F">
      <w:pPr>
        <w:pStyle w:val="2"/>
        <w:bidi w:val="0"/>
        <w:rPr>
          <w:rFonts w:hint="eastAsia"/>
        </w:rPr>
      </w:pPr>
      <w:r>
        <w:rPr>
          <w:rFonts w:hint="eastAsia"/>
        </w:rPr>
        <w:t>供应商根据后评估分为A、B、C、D 四个级别。</w:t>
      </w:r>
    </w:p>
    <w:p w14:paraId="141BDE82">
      <w:pPr>
        <w:pStyle w:val="2"/>
        <w:bidi w:val="0"/>
        <w:rPr>
          <w:rFonts w:hint="eastAsia"/>
        </w:rPr>
      </w:pPr>
      <w:r>
        <w:rPr>
          <w:rFonts w:hint="eastAsia"/>
        </w:rPr>
        <w:fldChar w:fldCharType="begin"/>
      </w:r>
      <w:r>
        <w:rPr>
          <w:rFonts w:hint="eastAsia"/>
        </w:rPr>
        <w:instrText xml:space="preserve"> HYPERLINK "javascript:setPayZixun()" </w:instrText>
      </w:r>
      <w:r>
        <w:rPr>
          <w:rFonts w:hint="eastAsia"/>
        </w:rPr>
        <w:fldChar w:fldCharType="separate"/>
      </w:r>
      <w:r>
        <w:rPr>
          <w:rStyle w:val="5"/>
          <w:rFonts w:hint="eastAsia" w:ascii="宋体" w:hAnsi="宋体" w:eastAsia="宋体" w:cs="宋体"/>
          <w:i w:val="0"/>
          <w:iCs w:val="0"/>
          <w:caps w:val="0"/>
          <w:color w:val="4577DC"/>
          <w:spacing w:val="0"/>
          <w:szCs w:val="24"/>
          <w:u w:val="none"/>
          <w:bdr w:val="none" w:color="auto" w:sz="0" w:space="0"/>
          <w:shd w:val="clear" w:fill="FAFAFA"/>
        </w:rPr>
        <w:t>A级</w:t>
      </w:r>
      <w:r>
        <w:rPr>
          <w:rFonts w:hint="eastAsia"/>
        </w:rPr>
        <w:fldChar w:fldCharType="end"/>
      </w:r>
      <w:r>
        <w:rPr>
          <w:rFonts w:hint="eastAsia"/>
        </w:rPr>
        <w:t>供应商：为在合作中表现较为突出的供应商，可作为此类产品合作的标杆企业。</w:t>
      </w:r>
    </w:p>
    <w:p w14:paraId="72D00147">
      <w:pPr>
        <w:pStyle w:val="2"/>
        <w:bidi w:val="0"/>
        <w:rPr>
          <w:rFonts w:hint="eastAsia"/>
        </w:rPr>
      </w:pPr>
      <w:r>
        <w:rPr>
          <w:rFonts w:hint="eastAsia"/>
        </w:rPr>
        <w:t>B级供应商：为在合作中总体状况良好的供应商，不存在影响整体销售、服务的明显问题。</w:t>
      </w:r>
    </w:p>
    <w:p w14:paraId="05A5583A">
      <w:pPr>
        <w:pStyle w:val="2"/>
        <w:bidi w:val="0"/>
        <w:rPr>
          <w:rFonts w:hint="eastAsia"/>
        </w:rPr>
      </w:pPr>
      <w:r>
        <w:rPr>
          <w:rFonts w:hint="eastAsia"/>
        </w:rPr>
        <w:t>C级供应商：为在合作中表现一般的供应商，存在部分问题。</w:t>
      </w:r>
    </w:p>
    <w:p w14:paraId="40CECC57">
      <w:pPr>
        <w:pStyle w:val="2"/>
        <w:bidi w:val="0"/>
        <w:rPr>
          <w:rFonts w:hint="eastAsia"/>
        </w:rPr>
      </w:pPr>
      <w:r>
        <w:rPr>
          <w:rFonts w:hint="eastAsia"/>
        </w:rPr>
        <w:t>D级供应商：为表现较差的供应商。</w:t>
      </w:r>
    </w:p>
    <w:p w14:paraId="0B6CA553">
      <w:pPr>
        <w:pStyle w:val="2"/>
        <w:bidi w:val="0"/>
        <w:rPr>
          <w:rFonts w:hint="eastAsia"/>
        </w:rPr>
      </w:pPr>
      <w:r>
        <w:rPr>
          <w:rFonts w:hint="eastAsia"/>
        </w:rPr>
        <w:t>九、发布公告的媒体：</w:t>
      </w:r>
    </w:p>
    <w:p w14:paraId="3457D8DC">
      <w:pPr>
        <w:pStyle w:val="2"/>
        <w:bidi w:val="0"/>
        <w:rPr>
          <w:rFonts w:hint="eastAsia"/>
        </w:rPr>
      </w:pPr>
      <w:r>
        <w:rPr>
          <w:rFonts w:hint="eastAsia"/>
        </w:rPr>
        <w:t>本招标公告仅在中国招标投标公共服务平台</w:t>
      </w:r>
      <w:r>
        <w:rPr>
          <w:rFonts w:hint="eastAsia"/>
        </w:rPr>
        <w:fldChar w:fldCharType="begin"/>
      </w:r>
      <w:r>
        <w:rPr>
          <w:rFonts w:hint="eastAsia"/>
        </w:rPr>
        <w:instrText xml:space="preserve"> HYPERLINK "http://www.cebpubservice.com/" </w:instrText>
      </w:r>
      <w:r>
        <w:rPr>
          <w:rFonts w:hint="eastAsia"/>
        </w:rPr>
        <w:fldChar w:fldCharType="separate"/>
      </w:r>
      <w:r>
        <w:rPr>
          <w:rStyle w:val="5"/>
          <w:rFonts w:hint="eastAsia" w:ascii="宋体" w:hAnsi="宋体" w:eastAsia="宋体" w:cs="宋体"/>
          <w:i w:val="0"/>
          <w:iCs w:val="0"/>
          <w:caps w:val="0"/>
          <w:color w:val="000000"/>
          <w:spacing w:val="0"/>
          <w:szCs w:val="24"/>
          <w:u w:val="single"/>
          <w:bdr w:val="none" w:color="auto" w:sz="0" w:space="0"/>
          <w:shd w:val="clear" w:fill="FAFAFA"/>
        </w:rPr>
        <w:t>http://www.cebpubservice.com/</w:t>
      </w:r>
      <w:r>
        <w:rPr>
          <w:rFonts w:hint="eastAsia"/>
        </w:rPr>
        <w:fldChar w:fldCharType="end"/>
      </w:r>
      <w:r>
        <w:rPr>
          <w:rFonts w:hint="eastAsia"/>
        </w:rPr>
        <w:t>和中国邮政官网www.chinapost.com.cn上发布，其他媒介转载无效。</w:t>
      </w:r>
    </w:p>
    <w:p w14:paraId="5CADF3DA">
      <w:pPr>
        <w:pStyle w:val="2"/>
        <w:bidi w:val="0"/>
        <w:rPr>
          <w:rFonts w:hint="eastAsia"/>
        </w:rPr>
      </w:pPr>
      <w:r>
        <w:rPr>
          <w:rFonts w:hint="eastAsia"/>
        </w:rPr>
        <w:t>十、联系方式：</w:t>
      </w:r>
    </w:p>
    <w:p w14:paraId="53680E85">
      <w:pPr>
        <w:pStyle w:val="2"/>
        <w:bidi w:val="0"/>
        <w:rPr>
          <w:rFonts w:hint="eastAsia"/>
        </w:rPr>
      </w:pPr>
      <w:bookmarkStart w:id="1" w:name="_Hlk64729569"/>
      <w:r>
        <w:rPr>
          <w:rFonts w:hint="eastAsia"/>
        </w:rPr>
        <w:t>招标代理机构：中通服网盈科技有限公司</w:t>
      </w:r>
      <w:bookmarkEnd w:id="1"/>
    </w:p>
    <w:p w14:paraId="0F3EA127">
      <w:pPr>
        <w:pStyle w:val="2"/>
        <w:bidi w:val="0"/>
        <w:rPr>
          <w:rFonts w:hint="eastAsia"/>
        </w:rPr>
      </w:pPr>
      <w:r>
        <w:rPr>
          <w:rFonts w:hint="eastAsia"/>
        </w:rPr>
        <w:t>地    址：盐城市盐都区新都西路39号盛州集团商务楼15层</w:t>
      </w:r>
    </w:p>
    <w:p w14:paraId="49C85F11">
      <w:pPr>
        <w:pStyle w:val="2"/>
        <w:bidi w:val="0"/>
        <w:rPr>
          <w:rFonts w:hint="eastAsia"/>
        </w:rPr>
      </w:pPr>
      <w:r>
        <w:rPr>
          <w:rFonts w:hint="eastAsia"/>
        </w:rPr>
        <w:t>联 系 人：高芳 </w:t>
      </w:r>
    </w:p>
    <w:p w14:paraId="69C3B94B">
      <w:pPr>
        <w:pStyle w:val="2"/>
        <w:bidi w:val="0"/>
        <w:rPr>
          <w:rFonts w:hint="eastAsia"/>
        </w:rPr>
      </w:pPr>
      <w:r>
        <w:rPr>
          <w:rFonts w:hint="eastAsia"/>
        </w:rPr>
        <w:t>电    话：18912500909</w:t>
      </w:r>
    </w:p>
    <w:p w14:paraId="54AEBFAE">
      <w:pPr>
        <w:pStyle w:val="2"/>
        <w:bidi w:val="0"/>
        <w:rPr>
          <w:rFonts w:hint="eastAsia"/>
        </w:rPr>
      </w:pPr>
      <w:r>
        <w:rPr>
          <w:rFonts w:hint="eastAsia"/>
        </w:rPr>
        <w:t>电子邮件：gaofang.jswy@chinaccs.cn</w:t>
      </w:r>
    </w:p>
    <w:p w14:paraId="28B35F1B">
      <w:pPr>
        <w:pStyle w:val="2"/>
        <w:bidi w:val="0"/>
        <w:rPr>
          <w:rFonts w:hint="eastAsia"/>
        </w:rPr>
      </w:pPr>
      <w:r>
        <w:rPr>
          <w:rFonts w:hint="eastAsia"/>
        </w:rPr>
        <w:t>开户银行：招商银行股份有限公司南京城北支行</w:t>
      </w:r>
    </w:p>
    <w:p w14:paraId="7B6ECE6F">
      <w:pPr>
        <w:pStyle w:val="2"/>
        <w:bidi w:val="0"/>
        <w:rPr>
          <w:rFonts w:hint="eastAsia"/>
        </w:rPr>
      </w:pPr>
      <w:r>
        <w:rPr>
          <w:rFonts w:hint="eastAsia"/>
        </w:rPr>
        <w:t>账    号：75594024621070100003129</w:t>
      </w:r>
    </w:p>
    <w:p w14:paraId="2E235FB0">
      <w:pPr>
        <w:pStyle w:val="2"/>
        <w:bidi w:val="0"/>
        <w:rPr>
          <w:rFonts w:hint="eastAsia"/>
        </w:rPr>
      </w:pPr>
      <w:r>
        <w:rPr>
          <w:rFonts w:hint="eastAsia"/>
        </w:rPr>
        <w:drawing>
          <wp:inline distT="0" distB="0" distL="114300" distR="114300">
            <wp:extent cx="66675" cy="3143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6675" cy="314325"/>
                    </a:xfrm>
                    <a:prstGeom prst="rect">
                      <a:avLst/>
                    </a:prstGeom>
                    <a:noFill/>
                    <a:ln w="9525">
                      <a:noFill/>
                    </a:ln>
                  </pic:spPr>
                </pic:pic>
              </a:graphicData>
            </a:graphic>
          </wp:inline>
        </w:drawing>
      </w:r>
      <w:r>
        <w:rPr>
          <w:rFonts w:hint="eastAsia"/>
        </w:rPr>
        <w:t> </w:t>
      </w:r>
    </w:p>
    <w:p w14:paraId="071C9E97">
      <w:pPr>
        <w:pStyle w:val="2"/>
        <w:bidi w:val="0"/>
      </w:pP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233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2025-11-05T03:30:02Z</dcterms:created>
  <dc:creator>28039</dc:creator>
  <cp:lastModifiedBy>璇儿</cp:lastModifiedBy>
  <dcterms:modified xsi:type="dcterms:W3CDTF">2025-11-05T03:30:09Z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C68C48E7546440C9870AA90D40B93678_12</vt:lpwstr>
  </property>
</Properties>
</file>