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4C006">
      <w:pPr>
        <w:pStyle w:val="2"/>
        <w:bidi w:val="0"/>
      </w:pPr>
      <w:bookmarkStart w:id="0" w:name="_GoBack"/>
      <w:r>
        <w:t>新沂市高流粮食</w:t>
      </w:r>
      <w:r>
        <w:rPr>
          <w:rFonts w:hint="eastAsia"/>
        </w:rPr>
        <w:t>物流园建设项目（二期）工程</w:t>
      </w:r>
    </w:p>
    <w:p w14:paraId="575FF2EF">
      <w:pPr>
        <w:pStyle w:val="2"/>
        <w:bidi w:val="0"/>
      </w:pPr>
      <w:r>
        <w:rPr>
          <w:rFonts w:hint="eastAsia"/>
        </w:rPr>
        <w:t>招标公告</w:t>
      </w:r>
    </w:p>
    <w:p w14:paraId="025C2C8C">
      <w:pPr>
        <w:pStyle w:val="2"/>
        <w:bidi w:val="0"/>
      </w:pPr>
      <w:r>
        <w:rPr>
          <w:rFonts w:hint="eastAsia"/>
        </w:rPr>
        <w:t>1. 招标条件</w:t>
      </w:r>
    </w:p>
    <w:p w14:paraId="744E4770">
      <w:pPr>
        <w:pStyle w:val="2"/>
        <w:bidi w:val="0"/>
      </w:pPr>
      <w:r>
        <w:rPr>
          <w:rFonts w:hint="eastAsia"/>
        </w:rPr>
        <w:t>本招标项目 新沂市高流粮食物流园建设项目 已由 新沂市行政审批局 以 新行审批备〔2023〕660号 批准建设，项目业主为新沂市粮食购销有限公司，建设资金来自自筹，项目出资比例为 100%。项目已具备招标条件，现对该项目新沂市高流粮食物流园建设项目（二期）工程项目进行公开招标，特邀请潜在投标人参加投标。</w:t>
      </w:r>
    </w:p>
    <w:p w14:paraId="3CB4BC94">
      <w:pPr>
        <w:pStyle w:val="2"/>
        <w:bidi w:val="0"/>
      </w:pPr>
      <w:r>
        <w:rPr>
          <w:rFonts w:hint="eastAsia"/>
        </w:rPr>
        <w:t>2. 工程概况与招标范围</w:t>
      </w:r>
    </w:p>
    <w:p w14:paraId="048B340D">
      <w:pPr>
        <w:pStyle w:val="2"/>
        <w:bidi w:val="0"/>
      </w:pPr>
      <w:r>
        <w:rPr>
          <w:rFonts w:hint="eastAsia"/>
        </w:rPr>
        <w:t>2.1 工程概况</w:t>
      </w:r>
    </w:p>
    <w:p w14:paraId="131DA766">
      <w:pPr>
        <w:pStyle w:val="2"/>
        <w:bidi w:val="0"/>
      </w:pPr>
      <w:r>
        <w:rPr>
          <w:rFonts w:hint="eastAsia"/>
        </w:rPr>
        <w:t>2.1.1 建设地点：新沂市高流镇。</w:t>
      </w:r>
    </w:p>
    <w:p w14:paraId="213D3F7B">
      <w:pPr>
        <w:pStyle w:val="2"/>
        <w:bidi w:val="0"/>
      </w:pPr>
      <w:r>
        <w:rPr>
          <w:rFonts w:hint="eastAsia"/>
        </w:rPr>
        <w:t>2.1.2 建设规模：新建2座配送中心、1座商业服务用房及门卫、配电房等配套附属工程，总建筑面积约1.8万平方米。</w:t>
      </w:r>
    </w:p>
    <w:p w14:paraId="0B163051">
      <w:pPr>
        <w:pStyle w:val="2"/>
        <w:bidi w:val="0"/>
      </w:pPr>
      <w:r>
        <w:rPr>
          <w:rFonts w:hint="eastAsia"/>
        </w:rPr>
        <w:t>2.1.3 合同估算价：55488906.31元；</w:t>
      </w:r>
    </w:p>
    <w:p w14:paraId="5521C830">
      <w:pPr>
        <w:pStyle w:val="2"/>
        <w:bidi w:val="0"/>
      </w:pPr>
      <w:r>
        <w:rPr>
          <w:rFonts w:hint="eastAsia"/>
        </w:rPr>
        <w:t>2.1.4 工期要求：300日历天。具体开竣工日期以实际施工日期为准。</w:t>
      </w:r>
    </w:p>
    <w:p w14:paraId="3F070C2B">
      <w:pPr>
        <w:pStyle w:val="2"/>
        <w:bidi w:val="0"/>
      </w:pPr>
      <w:r>
        <w:rPr>
          <w:rFonts w:hint="eastAsia"/>
        </w:rPr>
        <w:t>2.1.5 其他：本项目共分2个标段，本招标公告为第2标段。</w:t>
      </w:r>
    </w:p>
    <w:p w14:paraId="37167467">
      <w:pPr>
        <w:pStyle w:val="2"/>
        <w:bidi w:val="0"/>
      </w:pPr>
      <w:r>
        <w:rPr>
          <w:rFonts w:hint="eastAsia"/>
        </w:rPr>
        <w:t>2.2 招标范围：新建2座配送中心、1座商业服务用房及门卫、配电房等配套附属工程，总建筑面积约1.8万平方米。具体内容详见工程量清单及施工图所含内容。</w:t>
      </w:r>
    </w:p>
    <w:p w14:paraId="758BD96B">
      <w:pPr>
        <w:pStyle w:val="2"/>
        <w:bidi w:val="0"/>
      </w:pPr>
      <w:r>
        <w:rPr>
          <w:rFonts w:hint="eastAsia"/>
        </w:rPr>
        <w:t>3. 投标人资格要求</w:t>
      </w:r>
    </w:p>
    <w:p w14:paraId="5FDDA1C3">
      <w:pPr>
        <w:pStyle w:val="2"/>
        <w:bidi w:val="0"/>
      </w:pPr>
      <w:r>
        <w:rPr>
          <w:rFonts w:hint="eastAsia"/>
        </w:rPr>
        <w:t>3.1 投标人须具备建筑工程施工总承包叁级及以上资质、安全生产许可证，并在人员、设备、资金等方面具有相应的施工能力。</w:t>
      </w:r>
    </w:p>
    <w:p w14:paraId="77A16A81">
      <w:pPr>
        <w:pStyle w:val="2"/>
        <w:bidi w:val="0"/>
      </w:pPr>
      <w:r>
        <w:rPr>
          <w:rFonts w:hint="eastAsia"/>
        </w:rPr>
        <w:t>3.2 投标人拟派项目负责人须具备建筑工程专业壹级注册建造师资格，并取得《建筑施工企业安全生产考核合格证书》（B证），且必须满足下列条件：</w:t>
      </w:r>
    </w:p>
    <w:p w14:paraId="4C4ED866">
      <w:pPr>
        <w:pStyle w:val="2"/>
        <w:bidi w:val="0"/>
      </w:pPr>
      <w:r>
        <w:rPr>
          <w:rFonts w:hint="eastAsia"/>
        </w:rPr>
        <w:t>（1）项目负责人不得同时在两个或者两个以上单位受聘或者执业（同时在两个及以上单位签订劳动合同或交纳社会保险或将本人执（职）业资格证书同时注册在两个及以上单位）；项目负责人不得同时在其他公司担任法定代表人，不得是个体工商户经营者；项目负责人不得同时在其他公司担任公司董事、监事、高级管理人员。公司法定代表人、董事、监事、高级管理人员的变更信息以国家企业信用信息系统的变更备案信息为准。</w:t>
      </w:r>
    </w:p>
    <w:p w14:paraId="34604AC3">
      <w:pPr>
        <w:pStyle w:val="2"/>
        <w:bidi w:val="0"/>
      </w:pPr>
      <w:r>
        <w:rPr>
          <w:rFonts w:hint="eastAsia"/>
        </w:rPr>
        <w:t>（2）项目负责人（只对注册建造师要求）是非变更后无在建工程，或项目负责人是变更后无在建工程（必须原合同工期已满且变更备案之日已满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已在其他工程中担任项目负责人、技术负责人、质检员、安全员、施工员视为有在建工程）。</w:t>
      </w:r>
    </w:p>
    <w:p w14:paraId="368C2AD4">
      <w:pPr>
        <w:pStyle w:val="2"/>
        <w:bidi w:val="0"/>
      </w:pPr>
      <w:r>
        <w:rPr>
          <w:rFonts w:hint="eastAsia"/>
        </w:rPr>
        <w:t>（3）项目负责人无行贿犯罪行为记录；或有行贿犯罪行为记录，但自记录之日起已超过5年的。</w:t>
      </w:r>
    </w:p>
    <w:p w14:paraId="19BD1ABC">
      <w:pPr>
        <w:pStyle w:val="2"/>
        <w:bidi w:val="0"/>
      </w:pPr>
      <w:r>
        <w:rPr>
          <w:rFonts w:hint="eastAsia"/>
        </w:rPr>
        <w:t>3.3 投标人自2022年11月1日(含)以来承担过类似工程项目。类似工程是指：单项合同金额3300万元（含）以上的建筑工程。</w:t>
      </w:r>
    </w:p>
    <w:p w14:paraId="25084672">
      <w:pPr>
        <w:pStyle w:val="2"/>
        <w:bidi w:val="0"/>
      </w:pPr>
      <w:r>
        <w:rPr>
          <w:rFonts w:hint="eastAsia"/>
        </w:rPr>
        <w:t>类似工程业绩从“江苏省公共资源交易经营主体信息库系统”（http://49.77.204.17:7082//jsztk/#/login?redirect=%2F）”中链接的业绩为准。业绩证明材料需提供中标通知书、施工合同及竣工验收证明（直接发包项目以施工合同、竣工验收证明为准）。施工合同证明材料还需提供全国建筑市场监管公共服务平台的相应查询网页截图和查询链接网址，以上必须同时具备。类似工程业绩的金额以合同中注明的金额为准，时间以竣工验收证明为准。</w:t>
      </w:r>
    </w:p>
    <w:p w14:paraId="53F20E25">
      <w:pPr>
        <w:pStyle w:val="2"/>
        <w:bidi w:val="0"/>
      </w:pPr>
      <w:r>
        <w:rPr>
          <w:rFonts w:hint="eastAsia"/>
        </w:rPr>
        <w:t>3.4 投标人不得有招标文件第二章投标人须知第 1.4.3 项规定的情形。</w:t>
      </w:r>
    </w:p>
    <w:p w14:paraId="24133AE1">
      <w:pPr>
        <w:pStyle w:val="2"/>
        <w:bidi w:val="0"/>
      </w:pPr>
      <w:r>
        <w:rPr>
          <w:rFonts w:hint="eastAsia"/>
        </w:rPr>
        <w:t>3.5 失信被执行人惩戒执行《关于在公共资源交易领域的招标投标活动中建立对失信被执行人联合惩戒机制的实施意见》（苏信用办〔2018〕23 号） 。</w:t>
      </w:r>
    </w:p>
    <w:p w14:paraId="4AF4DA6E">
      <w:pPr>
        <w:pStyle w:val="2"/>
        <w:bidi w:val="0"/>
      </w:pPr>
      <w:r>
        <w:rPr>
          <w:rFonts w:hint="eastAsia"/>
        </w:rPr>
        <w:t>3.6 投标人（联合体各方均需提供）在递交投标文件截止日期前应提供信用服务机构出具有效的信用报告。</w:t>
      </w:r>
    </w:p>
    <w:p w14:paraId="66304C71">
      <w:pPr>
        <w:pStyle w:val="2"/>
        <w:bidi w:val="0"/>
      </w:pPr>
      <w:r>
        <w:rPr>
          <w:rFonts w:hint="eastAsia"/>
        </w:rPr>
        <w:t>注：（1）信用服务机构需在江苏省信用服务机构管理系统中申报信息，并在“信用徐州”或“信用江苏”网站公示（“信用徐州”公示地址：</w:t>
      </w:r>
      <w:r>
        <w:rPr>
          <w:rFonts w:hint="eastAsia"/>
        </w:rPr>
        <w:fldChar w:fldCharType="begin"/>
      </w:r>
      <w:r>
        <w:rPr>
          <w:rFonts w:hint="eastAsia"/>
        </w:rPr>
        <w:instrText xml:space="preserve"> HYPERLINK "https://www.xuzhoucredit.gov.cn/xyfw/index.html%EF%BC%89%E3%80%82"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https://www.xuzhoucredit.gov.cn/xyfw/index.html）。</w:t>
      </w:r>
      <w:r>
        <w:rPr>
          <w:rFonts w:hint="eastAsia"/>
        </w:rPr>
        <w:fldChar w:fldCharType="end"/>
      </w:r>
    </w:p>
    <w:p w14:paraId="4EDC1E23">
      <w:pPr>
        <w:pStyle w:val="2"/>
        <w:bidi w:val="0"/>
      </w:pPr>
      <w:r>
        <w:rPr>
          <w:rFonts w:hint="eastAsia"/>
        </w:rPr>
        <w:t>（2）信用报告需在“信用徐州”和“信用江苏”网站进行公示（“信用徐州”公示地址：https://www.xuzhoucredit.gov.cn/thirdreport/show_list）。</w:t>
      </w:r>
    </w:p>
    <w:p w14:paraId="21571BF4">
      <w:pPr>
        <w:pStyle w:val="2"/>
        <w:bidi w:val="0"/>
      </w:pPr>
      <w:r>
        <w:rPr>
          <w:rFonts w:hint="eastAsia"/>
        </w:rPr>
        <w:t>（3）投标人应在投标前告知信用服务机构信用报告使用地，并督促信用服务机构及时在相应网站公示报告，若因未及时公示所造成的后果由投标人自行负责。并在“信用报告概要”页面上加盖“新沂市信用报告备案专用章”（备案地点：新沂市市府路37号经济发展局信用办，咨询电话0516-67025912）。</w:t>
      </w:r>
    </w:p>
    <w:p w14:paraId="1B9ADA0A">
      <w:pPr>
        <w:pStyle w:val="2"/>
        <w:bidi w:val="0"/>
      </w:pPr>
      <w:r>
        <w:rPr>
          <w:rFonts w:hint="eastAsia"/>
        </w:rPr>
        <w:t>3.7 本次招标项目 接受 联合体形式投标。</w:t>
      </w:r>
    </w:p>
    <w:p w14:paraId="63C58329">
      <w:pPr>
        <w:pStyle w:val="2"/>
        <w:bidi w:val="0"/>
      </w:pPr>
      <w:r>
        <w:rPr>
          <w:rFonts w:hint="eastAsia"/>
        </w:rPr>
        <w:t>3.8 投标人（联合体各方均需提供）在递交投标文件截止时间前须取得《徐州市建筑业企业信用管理手册》。</w:t>
      </w:r>
    </w:p>
    <w:p w14:paraId="504B10DA">
      <w:pPr>
        <w:pStyle w:val="2"/>
        <w:bidi w:val="0"/>
      </w:pPr>
      <w:r>
        <w:rPr>
          <w:rFonts w:hint="eastAsia"/>
        </w:rPr>
        <w:t>3.9 不符合法律、法规规定的其他条件。</w:t>
      </w:r>
    </w:p>
    <w:p w14:paraId="7167499F">
      <w:pPr>
        <w:pStyle w:val="2"/>
        <w:bidi w:val="0"/>
      </w:pPr>
      <w:r>
        <w:rPr>
          <w:rFonts w:hint="eastAsia"/>
        </w:rPr>
        <w:t>3.10 根据《省住房城乡建设关于开展建筑业企业资质动态监管工作的公告》(〔2018〕第6号)，投标人在投标文件递交截止时间当日，资质动态监管结果处于不合格状态的，将作为资格审查不通过处理(企业动态资质查询信息以“江苏省建筑市场监管与诚信信息一体化平台”发布的信息为准)。</w:t>
      </w:r>
    </w:p>
    <w:p w14:paraId="057C38E2">
      <w:pPr>
        <w:pStyle w:val="2"/>
        <w:bidi w:val="0"/>
      </w:pPr>
      <w:r>
        <w:rPr>
          <w:rFonts w:hint="eastAsia"/>
        </w:rPr>
        <w:t>3.11 本工程实行电子化招投标，投标人、拟选派项目负责人必须在投标文件递交截止时间前已录入“江苏省公共资源交易经营主体信息库系统”（http://49.77.204.17:7082//jsztk/#/login?redirect=%2F）”。</w:t>
      </w:r>
    </w:p>
    <w:p w14:paraId="50748AFA">
      <w:pPr>
        <w:pStyle w:val="2"/>
        <w:bidi w:val="0"/>
      </w:pPr>
      <w:r>
        <w:rPr>
          <w:rFonts w:hint="eastAsia"/>
        </w:rPr>
        <w:t>4. 投标保证金的缴纳与退还：</w:t>
      </w:r>
    </w:p>
    <w:p w14:paraId="0BC17F9C">
      <w:pPr>
        <w:pStyle w:val="2"/>
        <w:bidi w:val="0"/>
      </w:pPr>
      <w:r>
        <w:rPr>
          <w:rFonts w:hint="eastAsia"/>
        </w:rPr>
        <w:t>4.1 本工程投标保证金的缴纳方式采用：☑银行电汇、网银转账（必须从投标人法人基本存款账户汇出）、☑银行保函、□信用承诺、□保险保单、□担保保函。投标人应在招标人已选择的缴纳方式中任意选择一种方式缴纳。</w:t>
      </w:r>
    </w:p>
    <w:p w14:paraId="1B2A8DB6">
      <w:pPr>
        <w:pStyle w:val="2"/>
        <w:bidi w:val="0"/>
      </w:pPr>
      <w:r>
        <w:rPr>
          <w:rFonts w:hint="eastAsia"/>
        </w:rPr>
        <w:t>4.2 本工程投标保证金金额：伍拾万元整</w:t>
      </w:r>
    </w:p>
    <w:p w14:paraId="0327ED54">
      <w:pPr>
        <w:pStyle w:val="2"/>
        <w:bidi w:val="0"/>
      </w:pPr>
      <w:r>
        <w:rPr>
          <w:rFonts w:hint="eastAsia"/>
        </w:rPr>
        <w:t>收款人：新沂市公共资源交易中心</w:t>
      </w:r>
    </w:p>
    <w:p w14:paraId="1C716B7B">
      <w:pPr>
        <w:pStyle w:val="2"/>
        <w:bidi w:val="0"/>
      </w:pPr>
      <w:r>
        <w:rPr>
          <w:rFonts w:hint="eastAsia"/>
        </w:rPr>
        <w:t>开户行：江苏银行新沂支行</w:t>
      </w:r>
    </w:p>
    <w:p w14:paraId="62FF46C2">
      <w:pPr>
        <w:pStyle w:val="2"/>
        <w:bidi w:val="0"/>
      </w:pPr>
      <w:r>
        <w:rPr>
          <w:rFonts w:hint="eastAsia"/>
        </w:rPr>
        <w:t>开户账号：60290188000207585-00010896</w:t>
      </w:r>
    </w:p>
    <w:p w14:paraId="29C3E1A9">
      <w:pPr>
        <w:pStyle w:val="2"/>
        <w:bidi w:val="0"/>
      </w:pPr>
      <w:r>
        <w:rPr>
          <w:rFonts w:hint="eastAsia"/>
        </w:rPr>
        <w:t>投标人采用银行电汇、网银转账缴纳投标保证金的，在投标截止时间前，必须确保投标保证金转账至上述账户，方可参与本工程投标。</w:t>
      </w:r>
    </w:p>
    <w:p w14:paraId="2B605922">
      <w:pPr>
        <w:pStyle w:val="2"/>
        <w:bidi w:val="0"/>
      </w:pPr>
      <w:r>
        <w:rPr>
          <w:rFonts w:hint="eastAsia"/>
        </w:rPr>
        <w:t>4.3 投标人采用银行保函方式缴纳投标保证金的，必须将银行保函的数据文件（彩色电子扫描件）通过投标工具软件上传至电子投标文件，在投标截止时间前随电子投标文件一并上传至交易系统。</w:t>
      </w:r>
    </w:p>
    <w:p w14:paraId="592C0AB1">
      <w:pPr>
        <w:pStyle w:val="2"/>
        <w:bidi w:val="0"/>
      </w:pPr>
      <w:r>
        <w:rPr>
          <w:rFonts w:hint="eastAsia"/>
        </w:rPr>
        <w:t>投标人采用银行保函方式缴纳投标保证金的，必须按照标段提交，即“一标段一银行保函”。银行保函要求如下：</w:t>
      </w:r>
    </w:p>
    <w:p w14:paraId="06547C7E">
      <w:pPr>
        <w:pStyle w:val="2"/>
        <w:bidi w:val="0"/>
      </w:pPr>
      <w:r>
        <w:rPr>
          <w:rFonts w:hint="eastAsia"/>
        </w:rPr>
        <w:t>（1）投标保证金采用银行保函方式提交的，银行保函的受益人必须是招标人。</w:t>
      </w:r>
    </w:p>
    <w:p w14:paraId="20AA847A">
      <w:pPr>
        <w:pStyle w:val="2"/>
        <w:bidi w:val="0"/>
      </w:pPr>
      <w:r>
        <w:rPr>
          <w:rFonts w:hint="eastAsia"/>
        </w:rPr>
        <w:t>（2）银行保函的格式以银行格式为准，保函的内容应包括项目名称、投标保证金金额、保函的有效期限（须与投标有效期一致或已延长）、银行担保的内容。</w:t>
      </w:r>
    </w:p>
    <w:p w14:paraId="3AF9D1B5">
      <w:pPr>
        <w:pStyle w:val="2"/>
        <w:bidi w:val="0"/>
      </w:pPr>
      <w:r>
        <w:rPr>
          <w:rFonts w:hint="eastAsia"/>
        </w:rPr>
        <w:t>（3）银行保函须为投标人基本账户开户行出具（基本账户开户行无出具保函权限需上级银行出具的，须提供基本户上级银行出具的相关证明资料），投标人应在投标文件中附基本账户开户许可证（或基本存款账户信息）原件扫描件。</w:t>
      </w:r>
    </w:p>
    <w:p w14:paraId="79385F65">
      <w:pPr>
        <w:pStyle w:val="2"/>
        <w:bidi w:val="0"/>
      </w:pPr>
      <w:r>
        <w:rPr>
          <w:rFonts w:hint="eastAsia"/>
        </w:rPr>
        <w:t>保险保单要求如下：      无       </w:t>
      </w:r>
    </w:p>
    <w:p w14:paraId="5251A6F3">
      <w:pPr>
        <w:pStyle w:val="2"/>
        <w:bidi w:val="0"/>
      </w:pPr>
      <w:r>
        <w:rPr>
          <w:rFonts w:hint="eastAsia"/>
        </w:rPr>
        <w:t>担保保函要求如下：      无         </w:t>
      </w:r>
    </w:p>
    <w:p w14:paraId="69F1169C">
      <w:pPr>
        <w:pStyle w:val="2"/>
        <w:bidi w:val="0"/>
      </w:pPr>
      <w:r>
        <w:rPr>
          <w:rFonts w:hint="eastAsia"/>
        </w:rPr>
        <w:t>新沂市公共资源交易中心为招标人在评标清标阶段开通评标系统账号，招标人自主验证投标人提供的银行保函，并将验证结果书面告知评标委员会。</w:t>
      </w:r>
    </w:p>
    <w:p w14:paraId="509DD953">
      <w:pPr>
        <w:pStyle w:val="2"/>
        <w:bidi w:val="0"/>
      </w:pPr>
      <w:r>
        <w:rPr>
          <w:rFonts w:hint="eastAsia"/>
        </w:rPr>
        <w:t>4.4 当投标人法人基本存款账户变更时，请及时在相应业务系统中变更信息，保证法人基本存款账户信息一致性。</w:t>
      </w:r>
    </w:p>
    <w:p w14:paraId="7F507197">
      <w:pPr>
        <w:pStyle w:val="2"/>
        <w:bidi w:val="0"/>
      </w:pPr>
      <w:r>
        <w:rPr>
          <w:rFonts w:hint="eastAsia"/>
        </w:rPr>
        <w:t>4.5 任何以个人或非投标人法人单位名义提交的投标保证金都将被拒绝接收。无论任何理由，投标保证金未及时支付均视为资格审查不合格。</w:t>
      </w:r>
    </w:p>
    <w:p w14:paraId="556B8DD3">
      <w:pPr>
        <w:pStyle w:val="2"/>
        <w:bidi w:val="0"/>
      </w:pPr>
      <w:r>
        <w:rPr>
          <w:rFonts w:hint="eastAsia"/>
        </w:rPr>
        <w:t>4.6 未中标人的投标保证金在中标通知书发出后第二个工作日起，以转账方式退还至其基本存款账户；中标人的投标保证金在合同签订后五日内，以转账方式退还至其基本存款账户。退还投标保证金时，发生的利息一并退还（使用银行保函、保险保单、担保保函、信用承诺方式的除外）。</w:t>
      </w:r>
    </w:p>
    <w:p w14:paraId="2F1FC200">
      <w:pPr>
        <w:pStyle w:val="2"/>
        <w:bidi w:val="0"/>
      </w:pPr>
      <w:r>
        <w:rPr>
          <w:rFonts w:hint="eastAsia"/>
        </w:rPr>
        <w:t>5. 招标文件的获取</w:t>
      </w:r>
    </w:p>
    <w:p w14:paraId="2CF91396">
      <w:pPr>
        <w:pStyle w:val="2"/>
        <w:bidi w:val="0"/>
      </w:pPr>
      <w:r>
        <w:rPr>
          <w:rFonts w:hint="eastAsia"/>
        </w:rPr>
        <w:t>5.1 招标文件获取时间为：2025年11月05日至 2025年11月27日 09 时 30 分；</w:t>
      </w:r>
    </w:p>
    <w:p w14:paraId="3989E519">
      <w:pPr>
        <w:pStyle w:val="2"/>
        <w:bidi w:val="0"/>
      </w:pPr>
      <w:r>
        <w:rPr>
          <w:rFonts w:hint="eastAsia"/>
        </w:rPr>
        <w:t>5.2 招标文件获取方式：投标人使用“CA 数字证书”登录“徐州市公共资源电子招标投标交易平台（http://221.229.205.226:8000/tpbidder）”免费获取；</w:t>
      </w:r>
    </w:p>
    <w:p w14:paraId="2823868B">
      <w:pPr>
        <w:pStyle w:val="2"/>
        <w:bidi w:val="0"/>
      </w:pPr>
      <w:r>
        <w:rPr>
          <w:rFonts w:hint="eastAsia"/>
        </w:rPr>
        <w:t>5.3 投标人自主选择任意―种投标文件制作工具软件制作投标文件，使用投标文件制作工具软件生成投标文件时需支付工具使用费,收费标准见“徐州市公共资源电子招标投标交易平台（http://221.229.205.226:8000/tpbidder）”中“投标文件制作工具软件下载”栏。</w:t>
      </w:r>
    </w:p>
    <w:p w14:paraId="7A35C481">
      <w:pPr>
        <w:pStyle w:val="2"/>
        <w:bidi w:val="0"/>
      </w:pPr>
      <w:r>
        <w:rPr>
          <w:rFonts w:hint="eastAsia"/>
        </w:rPr>
        <w:t>6. 投标截止时间</w:t>
      </w:r>
    </w:p>
    <w:p w14:paraId="32147323">
      <w:pPr>
        <w:pStyle w:val="2"/>
        <w:bidi w:val="0"/>
      </w:pPr>
      <w:r>
        <w:rPr>
          <w:rFonts w:hint="eastAsia"/>
        </w:rPr>
        <w:t>6.1 投标截止时间为：2025年11月27日 09 时 30 分。</w:t>
      </w:r>
    </w:p>
    <w:p w14:paraId="6150D524">
      <w:pPr>
        <w:pStyle w:val="2"/>
        <w:bidi w:val="0"/>
      </w:pPr>
      <w:r>
        <w:rPr>
          <w:rFonts w:hint="eastAsia"/>
        </w:rPr>
        <w:t>6.2 逾期上传或未上传到“徐州市公共资源电子招标投标交易平台（http://221.229.205.226:8000/tpbidder）”的投标文件，招标人不予受理。</w:t>
      </w:r>
    </w:p>
    <w:p w14:paraId="2FFC8C55">
      <w:pPr>
        <w:pStyle w:val="2"/>
        <w:bidi w:val="0"/>
      </w:pPr>
      <w:r>
        <w:rPr>
          <w:rFonts w:hint="eastAsia"/>
        </w:rPr>
        <w:t>6.3 本次开标采用网上不见面开标，投标人需在徐州市公共资源交易平台（http://221.229.211.51:8090/BidOpeningNew）进入“不见面开标大厅”模块后使用“江苏 CA 数字证书”登录参与开标、解密，未在招标文件约定时间内解密的投标人视为放弃投标。在开标过程如遇到问题，请及时联系技术支持客服电话，电话为：4009980000。</w:t>
      </w:r>
    </w:p>
    <w:p w14:paraId="204667B3">
      <w:pPr>
        <w:pStyle w:val="2"/>
        <w:bidi w:val="0"/>
      </w:pPr>
      <w:r>
        <w:rPr>
          <w:rFonts w:hint="eastAsia"/>
        </w:rPr>
        <w:t>7. 资格审查</w:t>
      </w:r>
    </w:p>
    <w:p w14:paraId="21598716">
      <w:pPr>
        <w:pStyle w:val="2"/>
        <w:bidi w:val="0"/>
      </w:pPr>
      <w:r>
        <w:rPr>
          <w:rFonts w:hint="eastAsia"/>
        </w:rPr>
        <w:t>本次招标采用资格后审方式进行资格审查，资格评审标准详见招标文件第三章。</w:t>
      </w:r>
    </w:p>
    <w:p w14:paraId="1B828951">
      <w:pPr>
        <w:pStyle w:val="2"/>
        <w:bidi w:val="0"/>
      </w:pPr>
      <w:r>
        <w:rPr>
          <w:rFonts w:hint="eastAsia"/>
        </w:rPr>
        <w:t>8. 评标方法</w:t>
      </w:r>
    </w:p>
    <w:p w14:paraId="0BC0989A">
      <w:pPr>
        <w:pStyle w:val="2"/>
        <w:bidi w:val="0"/>
      </w:pPr>
      <w:r>
        <w:rPr>
          <w:rFonts w:hint="eastAsia"/>
        </w:rPr>
        <w:t>本次招标评分办法采用本工程采用评定分离方式，评标办法采用综合评估法，定标办法采用集体议事法，具体详见本项目招标文件。评标标准和方法详见招标文件第三章。</w:t>
      </w:r>
    </w:p>
    <w:tbl>
      <w:tblPr>
        <w:tblW w:w="6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2"/>
        <w:gridCol w:w="723"/>
        <w:gridCol w:w="3839"/>
        <w:gridCol w:w="1016"/>
        <w:gridCol w:w="340"/>
      </w:tblGrid>
      <w:tr w14:paraId="2F47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6620" w:type="dxa"/>
            <w:gridSpan w:val="5"/>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D6E1FF">
            <w:pPr>
              <w:pStyle w:val="2"/>
              <w:bidi w:val="0"/>
            </w:pPr>
            <w:r>
              <w:t>详细评审</w:t>
            </w:r>
          </w:p>
        </w:tc>
      </w:tr>
      <w:tr w14:paraId="1D76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260" w:type="dxa"/>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66A088">
            <w:pPr>
              <w:pStyle w:val="2"/>
              <w:bidi w:val="0"/>
            </w:pPr>
            <w:r>
              <w:t>条款号</w:t>
            </w:r>
          </w:p>
        </w:tc>
        <w:tc>
          <w:tcPr>
            <w:tcW w:w="5360" w:type="dxa"/>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D061DF">
            <w:pPr>
              <w:pStyle w:val="2"/>
              <w:bidi w:val="0"/>
            </w:pPr>
            <w:r>
              <w:t>评审标准</w:t>
            </w:r>
          </w:p>
        </w:tc>
      </w:tr>
      <w:tr w14:paraId="0C6B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197459">
            <w:pPr>
              <w:pStyle w:val="2"/>
              <w:bidi w:val="0"/>
            </w:pPr>
            <w:r>
              <w:t> </w:t>
            </w:r>
          </w:p>
          <w:p w14:paraId="01E440E4">
            <w:pPr>
              <w:pStyle w:val="2"/>
              <w:bidi w:val="0"/>
            </w:pPr>
            <w:r>
              <w:t>2.3.1</w:t>
            </w:r>
          </w:p>
        </w:tc>
        <w:tc>
          <w:tcPr>
            <w:tcW w:w="7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86B309">
            <w:pPr>
              <w:pStyle w:val="2"/>
              <w:bidi w:val="0"/>
            </w:pPr>
            <w:r>
              <w:t> </w:t>
            </w:r>
          </w:p>
          <w:p w14:paraId="25BF911F">
            <w:pPr>
              <w:pStyle w:val="2"/>
              <w:bidi w:val="0"/>
            </w:pPr>
            <w:r>
              <w:t>分值构成</w:t>
            </w:r>
          </w:p>
        </w:tc>
        <w:tc>
          <w:tcPr>
            <w:tcW w:w="5360" w:type="dxa"/>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D3F1A9">
            <w:pPr>
              <w:pStyle w:val="2"/>
              <w:bidi w:val="0"/>
            </w:pPr>
            <w:r>
              <w:t>（1）投标报价： 82分</w:t>
            </w:r>
          </w:p>
          <w:p w14:paraId="0482840F">
            <w:pPr>
              <w:pStyle w:val="2"/>
              <w:bidi w:val="0"/>
            </w:pPr>
            <w:r>
              <w:t>（2）施工组织设计：16 分</w:t>
            </w:r>
          </w:p>
          <w:p w14:paraId="33689B70">
            <w:pPr>
              <w:pStyle w:val="2"/>
              <w:bidi w:val="0"/>
            </w:pPr>
            <w:r>
              <w:t>（3）投标人业绩：2分</w:t>
            </w:r>
          </w:p>
        </w:tc>
      </w:tr>
      <w:tr w14:paraId="378F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4D1F0D">
            <w:pPr>
              <w:pStyle w:val="2"/>
              <w:bidi w:val="0"/>
            </w:pPr>
            <w:r>
              <w:t>2.3.2</w:t>
            </w:r>
          </w:p>
        </w:tc>
        <w:tc>
          <w:tcPr>
            <w:tcW w:w="7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AFE789">
            <w:pPr>
              <w:pStyle w:val="2"/>
              <w:bidi w:val="0"/>
            </w:pPr>
            <w:r>
              <w:t>评标基准价计算方法</w:t>
            </w:r>
          </w:p>
          <w:p w14:paraId="2B429433">
            <w:pPr>
              <w:pStyle w:val="2"/>
              <w:bidi w:val="0"/>
            </w:pPr>
            <w:r>
              <w:t> </w:t>
            </w:r>
          </w:p>
        </w:tc>
        <w:tc>
          <w:tcPr>
            <w:tcW w:w="5360" w:type="dxa"/>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F584FA">
            <w:pPr>
              <w:pStyle w:val="2"/>
              <w:bidi w:val="0"/>
            </w:pPr>
            <w:r>
              <w:t>1.评标基准值计算方法的确定</w:t>
            </w:r>
          </w:p>
          <w:p w14:paraId="59F44F27">
            <w:pPr>
              <w:pStyle w:val="2"/>
              <w:bidi w:val="0"/>
            </w:pPr>
            <w:r>
              <w:t>开标时从由招标人代表以下方法中随机抽取确定：方法一；方法二；</w:t>
            </w:r>
          </w:p>
          <w:p w14:paraId="45D309F1">
            <w:pPr>
              <w:pStyle w:val="2"/>
              <w:bidi w:val="0"/>
            </w:pPr>
            <w:r>
              <w:t>2.评标基准值计算具体细则见本章附件B，参数设置如下：</w:t>
            </w:r>
          </w:p>
          <w:p w14:paraId="0DF07727">
            <w:pPr>
              <w:pStyle w:val="2"/>
              <w:bidi w:val="0"/>
            </w:pPr>
            <w:r>
              <w:t>方法一：K值取值范围：95%-98% ，开标时由招标人代表随机抽取确定；</w:t>
            </w:r>
          </w:p>
          <w:p w14:paraId="22861653">
            <w:pPr>
              <w:pStyle w:val="2"/>
              <w:bidi w:val="0"/>
            </w:pPr>
            <w:r>
              <w:t>方法二：K1值取值范围：95%-98% ，开标时由招标人代表随机抽取确定；</w:t>
            </w:r>
          </w:p>
          <w:p w14:paraId="36735DDE">
            <w:pPr>
              <w:pStyle w:val="2"/>
              <w:bidi w:val="0"/>
            </w:pPr>
            <w:r>
              <w:t>Q1值取值范围： 65%-85% ，开标时由招标人代表随机抽取确定；</w:t>
            </w:r>
          </w:p>
          <w:p w14:paraId="362899F7">
            <w:pPr>
              <w:pStyle w:val="2"/>
              <w:bidi w:val="0"/>
            </w:pPr>
            <w:r>
              <w:t>K2取值为：95%；（K2的取值范围，建筑工程为 90%～100%，装饰、安装为 88%～100%，市政工程为 86%～100%，园林绿化工程为 84%～100%，其他工程88%～100%）</w:t>
            </w:r>
          </w:p>
          <w:p w14:paraId="32D3CDF4">
            <w:pPr>
              <w:pStyle w:val="2"/>
              <w:bidi w:val="0"/>
            </w:pPr>
            <w:r>
              <w:t>3.特殊情形下，评标基准价调整方式：</w:t>
            </w:r>
          </w:p>
          <w:p w14:paraId="71601C66">
            <w:pPr>
              <w:pStyle w:val="2"/>
              <w:bidi w:val="0"/>
            </w:pPr>
            <w:r>
              <w:t>除确认存在计算错误外，评标基准价不因招投标当事人质疑、投诉、专家复议以及其它任何情形而改变。</w:t>
            </w:r>
          </w:p>
        </w:tc>
      </w:tr>
      <w:tr w14:paraId="3B58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ECB9F3">
            <w:pPr>
              <w:pStyle w:val="2"/>
              <w:bidi w:val="0"/>
            </w:pPr>
            <w:r>
              <w:t>2.3.3</w:t>
            </w:r>
          </w:p>
          <w:p w14:paraId="316A52B0">
            <w:pPr>
              <w:pStyle w:val="2"/>
              <w:bidi w:val="0"/>
            </w:pPr>
            <w:r>
              <w:t>（1）</w:t>
            </w:r>
          </w:p>
        </w:tc>
        <w:tc>
          <w:tcPr>
            <w:tcW w:w="7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A8279C">
            <w:pPr>
              <w:pStyle w:val="2"/>
              <w:bidi w:val="0"/>
            </w:pPr>
            <w:r>
              <w:t>投标报价得分计算</w:t>
            </w:r>
          </w:p>
          <w:p w14:paraId="38636C5D">
            <w:pPr>
              <w:pStyle w:val="2"/>
              <w:bidi w:val="0"/>
            </w:pPr>
            <w:r>
              <w:t>（82分）</w:t>
            </w:r>
          </w:p>
        </w:tc>
        <w:tc>
          <w:tcPr>
            <w:tcW w:w="5360" w:type="dxa"/>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ACABF6">
            <w:pPr>
              <w:pStyle w:val="2"/>
              <w:bidi w:val="0"/>
            </w:pPr>
            <w:r>
              <w:t>评标价等于评标基准价的得满分，评标价相对评标基准价每低1%扣 0.6 分，每高 1%扣 0.9分；偏离不足1%的，按照插入法计算得分，最终得分精确到小数点后两位。</w:t>
            </w:r>
          </w:p>
        </w:tc>
      </w:tr>
      <w:tr w14:paraId="3EEA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BD2EE1">
            <w:pPr>
              <w:pStyle w:val="2"/>
              <w:bidi w:val="0"/>
            </w:pPr>
            <w:r>
              <w:t>2.3.3</w:t>
            </w:r>
          </w:p>
          <w:p w14:paraId="66FB0293">
            <w:pPr>
              <w:pStyle w:val="2"/>
              <w:bidi w:val="0"/>
            </w:pPr>
            <w:r>
              <w:t>（2）</w:t>
            </w:r>
          </w:p>
          <w:p w14:paraId="3E8EC4ED">
            <w:pPr>
              <w:pStyle w:val="2"/>
              <w:bidi w:val="0"/>
            </w:pPr>
            <w:r>
              <w:t> </w:t>
            </w:r>
          </w:p>
        </w:tc>
        <w:tc>
          <w:tcPr>
            <w:tcW w:w="730" w:type="dxa"/>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1946FE9">
            <w:pPr>
              <w:pStyle w:val="2"/>
              <w:bidi w:val="0"/>
            </w:pPr>
            <w:r>
              <w:t>施工组织设计</w:t>
            </w:r>
          </w:p>
          <w:p w14:paraId="28DD8E36">
            <w:pPr>
              <w:pStyle w:val="2"/>
              <w:bidi w:val="0"/>
            </w:pPr>
            <w:r>
              <w:t>（16分）</w:t>
            </w:r>
          </w:p>
        </w:tc>
        <w:tc>
          <w:tcPr>
            <w:tcW w:w="4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ED62E8">
            <w:pPr>
              <w:pStyle w:val="2"/>
              <w:bidi w:val="0"/>
            </w:pPr>
            <w:r>
              <w:t>评审因素</w:t>
            </w:r>
          </w:p>
        </w:tc>
        <w:tc>
          <w:tcPr>
            <w:tcW w:w="1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F3D978">
            <w:pPr>
              <w:pStyle w:val="2"/>
              <w:bidi w:val="0"/>
            </w:pPr>
            <w:r>
              <w:t>页数要求</w:t>
            </w:r>
          </w:p>
        </w:tc>
        <w:tc>
          <w:tcPr>
            <w:tcW w:w="3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14CA45">
            <w:pPr>
              <w:pStyle w:val="2"/>
              <w:bidi w:val="0"/>
            </w:pPr>
            <w:r>
              <w:t>分值</w:t>
            </w:r>
          </w:p>
        </w:tc>
      </w:tr>
      <w:tr w14:paraId="736D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F04CC5">
            <w:pPr>
              <w:pStyle w:val="2"/>
              <w:bidi w:val="0"/>
              <w:rPr>
                <w:rFonts w:hint="eastAsia"/>
              </w:rPr>
            </w:pPr>
          </w:p>
        </w:tc>
        <w:tc>
          <w:tcPr>
            <w:tcW w:w="7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9C7286">
            <w:pPr>
              <w:pStyle w:val="2"/>
              <w:bidi w:val="0"/>
              <w:rPr>
                <w:rFonts w:hint="eastAsia"/>
              </w:rPr>
            </w:pPr>
          </w:p>
        </w:tc>
        <w:tc>
          <w:tcPr>
            <w:tcW w:w="4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16023E9">
            <w:pPr>
              <w:pStyle w:val="2"/>
              <w:bidi w:val="0"/>
            </w:pPr>
            <w:r>
              <w:t>1.总体概述:施工组织总体设想、方案针对性及施工标段划分</w:t>
            </w:r>
          </w:p>
        </w:tc>
        <w:tc>
          <w:tcPr>
            <w:tcW w:w="1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EC44D9">
            <w:pPr>
              <w:pStyle w:val="2"/>
              <w:bidi w:val="0"/>
            </w:pPr>
            <w:r>
              <w:t>5页及以下</w:t>
            </w:r>
          </w:p>
        </w:tc>
        <w:tc>
          <w:tcPr>
            <w:tcW w:w="3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225622">
            <w:pPr>
              <w:pStyle w:val="2"/>
              <w:bidi w:val="0"/>
            </w:pPr>
            <w:r>
              <w:t>1</w:t>
            </w:r>
          </w:p>
        </w:tc>
      </w:tr>
      <w:tr w14:paraId="0274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DCD2E5">
            <w:pPr>
              <w:pStyle w:val="2"/>
              <w:bidi w:val="0"/>
              <w:rPr>
                <w:rFonts w:hint="eastAsia"/>
              </w:rPr>
            </w:pPr>
          </w:p>
        </w:tc>
        <w:tc>
          <w:tcPr>
            <w:tcW w:w="7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01E813">
            <w:pPr>
              <w:pStyle w:val="2"/>
              <w:bidi w:val="0"/>
              <w:rPr>
                <w:rFonts w:hint="eastAsia"/>
              </w:rPr>
            </w:pPr>
          </w:p>
        </w:tc>
        <w:tc>
          <w:tcPr>
            <w:tcW w:w="4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2F3B72">
            <w:pPr>
              <w:pStyle w:val="2"/>
              <w:bidi w:val="0"/>
            </w:pPr>
            <w:r>
              <w:t>2.施工现场平面布置和临时设施、临时道路布置</w:t>
            </w:r>
          </w:p>
        </w:tc>
        <w:tc>
          <w:tcPr>
            <w:tcW w:w="1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FABE2F">
            <w:pPr>
              <w:pStyle w:val="2"/>
              <w:bidi w:val="0"/>
            </w:pPr>
            <w:r>
              <w:t>4页及以下</w:t>
            </w:r>
          </w:p>
        </w:tc>
        <w:tc>
          <w:tcPr>
            <w:tcW w:w="3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A384A6">
            <w:pPr>
              <w:pStyle w:val="2"/>
              <w:bidi w:val="0"/>
            </w:pPr>
            <w:r>
              <w:t>1</w:t>
            </w:r>
          </w:p>
        </w:tc>
      </w:tr>
      <w:tr w14:paraId="547D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38AF7B">
            <w:pPr>
              <w:pStyle w:val="2"/>
              <w:bidi w:val="0"/>
              <w:rPr>
                <w:rFonts w:hint="eastAsia"/>
              </w:rPr>
            </w:pPr>
          </w:p>
        </w:tc>
        <w:tc>
          <w:tcPr>
            <w:tcW w:w="7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2770A3">
            <w:pPr>
              <w:pStyle w:val="2"/>
              <w:bidi w:val="0"/>
              <w:rPr>
                <w:rFonts w:hint="eastAsia"/>
              </w:rPr>
            </w:pPr>
          </w:p>
        </w:tc>
        <w:tc>
          <w:tcPr>
            <w:tcW w:w="4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63B2AA">
            <w:pPr>
              <w:pStyle w:val="2"/>
              <w:bidi w:val="0"/>
            </w:pPr>
            <w:r>
              <w:t>3.施工进度计划和各阶段进度的保证措施</w:t>
            </w:r>
          </w:p>
        </w:tc>
        <w:tc>
          <w:tcPr>
            <w:tcW w:w="1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F697CB">
            <w:pPr>
              <w:pStyle w:val="2"/>
              <w:bidi w:val="0"/>
            </w:pPr>
            <w:r>
              <w:t>10页及以下</w:t>
            </w:r>
          </w:p>
        </w:tc>
        <w:tc>
          <w:tcPr>
            <w:tcW w:w="3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AA41BB">
            <w:pPr>
              <w:pStyle w:val="2"/>
              <w:bidi w:val="0"/>
            </w:pPr>
            <w:r>
              <w:t>2</w:t>
            </w:r>
          </w:p>
        </w:tc>
      </w:tr>
      <w:tr w14:paraId="0400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93DC60">
            <w:pPr>
              <w:pStyle w:val="2"/>
              <w:bidi w:val="0"/>
              <w:rPr>
                <w:rFonts w:hint="eastAsia"/>
              </w:rPr>
            </w:pPr>
          </w:p>
        </w:tc>
        <w:tc>
          <w:tcPr>
            <w:tcW w:w="7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5A439E">
            <w:pPr>
              <w:pStyle w:val="2"/>
              <w:bidi w:val="0"/>
              <w:rPr>
                <w:rFonts w:hint="eastAsia"/>
              </w:rPr>
            </w:pPr>
          </w:p>
        </w:tc>
        <w:tc>
          <w:tcPr>
            <w:tcW w:w="4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5DEE44">
            <w:pPr>
              <w:pStyle w:val="2"/>
              <w:bidi w:val="0"/>
            </w:pPr>
            <w:r>
              <w:t>4.施工过程各阶段质量安全的保证措施</w:t>
            </w:r>
          </w:p>
        </w:tc>
        <w:tc>
          <w:tcPr>
            <w:tcW w:w="1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EBE400">
            <w:pPr>
              <w:pStyle w:val="2"/>
              <w:bidi w:val="0"/>
            </w:pPr>
            <w:r>
              <w:t>6页及以下</w:t>
            </w:r>
          </w:p>
        </w:tc>
        <w:tc>
          <w:tcPr>
            <w:tcW w:w="3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B489A7">
            <w:pPr>
              <w:pStyle w:val="2"/>
              <w:bidi w:val="0"/>
            </w:pPr>
            <w:r>
              <w:t>1</w:t>
            </w:r>
          </w:p>
        </w:tc>
      </w:tr>
      <w:tr w14:paraId="01A4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A47606">
            <w:pPr>
              <w:pStyle w:val="2"/>
              <w:bidi w:val="0"/>
              <w:rPr>
                <w:rFonts w:hint="eastAsia"/>
              </w:rPr>
            </w:pPr>
          </w:p>
        </w:tc>
        <w:tc>
          <w:tcPr>
            <w:tcW w:w="7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89BF94">
            <w:pPr>
              <w:pStyle w:val="2"/>
              <w:bidi w:val="0"/>
              <w:rPr>
                <w:rFonts w:hint="eastAsia"/>
              </w:rPr>
            </w:pPr>
          </w:p>
        </w:tc>
        <w:tc>
          <w:tcPr>
            <w:tcW w:w="4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A5B827">
            <w:pPr>
              <w:pStyle w:val="2"/>
              <w:bidi w:val="0"/>
            </w:pPr>
            <w:r>
              <w:t>5.劳动力、机械设备和材料投入计划</w:t>
            </w:r>
          </w:p>
        </w:tc>
        <w:tc>
          <w:tcPr>
            <w:tcW w:w="1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D3E09B">
            <w:pPr>
              <w:pStyle w:val="2"/>
              <w:bidi w:val="0"/>
            </w:pPr>
            <w:r>
              <w:t>12页及以下</w:t>
            </w:r>
          </w:p>
        </w:tc>
        <w:tc>
          <w:tcPr>
            <w:tcW w:w="3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F202D6">
            <w:pPr>
              <w:pStyle w:val="2"/>
              <w:bidi w:val="0"/>
            </w:pPr>
            <w:r>
              <w:t>1</w:t>
            </w:r>
          </w:p>
        </w:tc>
      </w:tr>
      <w:tr w14:paraId="44D3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9F85A3">
            <w:pPr>
              <w:pStyle w:val="2"/>
              <w:bidi w:val="0"/>
              <w:rPr>
                <w:rFonts w:hint="eastAsia"/>
              </w:rPr>
            </w:pPr>
          </w:p>
        </w:tc>
        <w:tc>
          <w:tcPr>
            <w:tcW w:w="7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D2B317">
            <w:pPr>
              <w:pStyle w:val="2"/>
              <w:bidi w:val="0"/>
              <w:rPr>
                <w:rFonts w:hint="eastAsia"/>
              </w:rPr>
            </w:pPr>
          </w:p>
        </w:tc>
        <w:tc>
          <w:tcPr>
            <w:tcW w:w="4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51945C">
            <w:pPr>
              <w:pStyle w:val="2"/>
              <w:bidi w:val="0"/>
            </w:pPr>
            <w:r>
              <w:t>6.关键施工技术、工艺及工程项目实施的重点、难点和解决方案</w:t>
            </w:r>
          </w:p>
        </w:tc>
        <w:tc>
          <w:tcPr>
            <w:tcW w:w="1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30FFAE">
            <w:pPr>
              <w:pStyle w:val="2"/>
              <w:bidi w:val="0"/>
            </w:pPr>
            <w:r>
              <w:t>28页及以下</w:t>
            </w:r>
          </w:p>
        </w:tc>
        <w:tc>
          <w:tcPr>
            <w:tcW w:w="3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040A52">
            <w:pPr>
              <w:pStyle w:val="2"/>
              <w:bidi w:val="0"/>
            </w:pPr>
            <w:r>
              <w:t>2</w:t>
            </w:r>
          </w:p>
        </w:tc>
      </w:tr>
      <w:tr w14:paraId="0B40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79B457">
            <w:pPr>
              <w:pStyle w:val="2"/>
              <w:bidi w:val="0"/>
              <w:rPr>
                <w:rFonts w:hint="eastAsia"/>
              </w:rPr>
            </w:pPr>
          </w:p>
        </w:tc>
        <w:tc>
          <w:tcPr>
            <w:tcW w:w="7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AD5976">
            <w:pPr>
              <w:pStyle w:val="2"/>
              <w:bidi w:val="0"/>
              <w:rPr>
                <w:rFonts w:hint="eastAsia"/>
              </w:rPr>
            </w:pPr>
          </w:p>
        </w:tc>
        <w:tc>
          <w:tcPr>
            <w:tcW w:w="4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F08348">
            <w:pPr>
              <w:pStyle w:val="2"/>
              <w:bidi w:val="0"/>
            </w:pPr>
            <w:r>
              <w:t>7.新技术、新产品、新工艺、新材料应用</w:t>
            </w:r>
          </w:p>
        </w:tc>
        <w:tc>
          <w:tcPr>
            <w:tcW w:w="1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1DA57A">
            <w:pPr>
              <w:pStyle w:val="2"/>
              <w:bidi w:val="0"/>
            </w:pPr>
            <w:r>
              <w:t>15页及以下</w:t>
            </w:r>
          </w:p>
        </w:tc>
        <w:tc>
          <w:tcPr>
            <w:tcW w:w="3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0CB7B4">
            <w:pPr>
              <w:pStyle w:val="2"/>
              <w:bidi w:val="0"/>
            </w:pPr>
            <w:r>
              <w:t>1</w:t>
            </w:r>
          </w:p>
        </w:tc>
      </w:tr>
      <w:tr w14:paraId="644B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53DFE1">
            <w:pPr>
              <w:pStyle w:val="2"/>
              <w:bidi w:val="0"/>
              <w:rPr>
                <w:rFonts w:hint="eastAsia"/>
              </w:rPr>
            </w:pPr>
          </w:p>
        </w:tc>
        <w:tc>
          <w:tcPr>
            <w:tcW w:w="7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85E015">
            <w:pPr>
              <w:pStyle w:val="2"/>
              <w:bidi w:val="0"/>
              <w:rPr>
                <w:rFonts w:hint="eastAsia"/>
              </w:rPr>
            </w:pPr>
          </w:p>
        </w:tc>
        <w:tc>
          <w:tcPr>
            <w:tcW w:w="40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2A350F">
            <w:pPr>
              <w:pStyle w:val="2"/>
              <w:bidi w:val="0"/>
            </w:pPr>
            <w:r>
              <w:t>8.扬尘污染防治方案</w:t>
            </w:r>
          </w:p>
        </w:tc>
        <w:tc>
          <w:tcPr>
            <w:tcW w:w="10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B99B09">
            <w:pPr>
              <w:pStyle w:val="2"/>
              <w:bidi w:val="0"/>
            </w:pPr>
            <w:r>
              <w:t>4页及以下</w:t>
            </w:r>
          </w:p>
        </w:tc>
        <w:tc>
          <w:tcPr>
            <w:tcW w:w="3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92C943">
            <w:pPr>
              <w:pStyle w:val="2"/>
              <w:bidi w:val="0"/>
            </w:pPr>
            <w:r>
              <w:t>1</w:t>
            </w:r>
          </w:p>
        </w:tc>
      </w:tr>
      <w:tr w14:paraId="3AE2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4B3944">
            <w:pPr>
              <w:pStyle w:val="2"/>
              <w:bidi w:val="0"/>
              <w:rPr>
                <w:rFonts w:hint="eastAsia"/>
              </w:rPr>
            </w:pPr>
          </w:p>
        </w:tc>
        <w:tc>
          <w:tcPr>
            <w:tcW w:w="7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38EE5AE">
            <w:pPr>
              <w:pStyle w:val="2"/>
              <w:bidi w:val="0"/>
              <w:rPr>
                <w:rFonts w:hint="eastAsia"/>
              </w:rPr>
            </w:pPr>
          </w:p>
        </w:tc>
        <w:tc>
          <w:tcPr>
            <w:tcW w:w="5050" w:type="dxa"/>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333B41">
            <w:pPr>
              <w:pStyle w:val="2"/>
              <w:bidi w:val="0"/>
            </w:pPr>
            <w:r>
              <w:t>9.BIM等信息技术的使用（BIM 等信息技术的使用采用 U 盘单独密封（密封和标记执行暗标要求），开标现场递交，在投标文件递交截止时间前由递交授权人（递交授权人可以不是项目授权人）递交至新沂市公共资源交易中心第六开标室。投标截止时间后不再接收。未提供“BIM 等信息技术的使用”或提供的“BIM 等信息技术的使用”被评标委员会认定存在重大偏差，“BIM 等信息技术的使用”项不得分。U 盘中提供施工组织设计“9.BIM 等信息技术的使用”全部内容。） </w:t>
            </w:r>
          </w:p>
          <w:p w14:paraId="3894BB71">
            <w:pPr>
              <w:pStyle w:val="2"/>
              <w:bidi w:val="0"/>
            </w:pPr>
            <w:r>
              <w:t>(1)评审子项目名称:全专业 BIM 模型创建。利用发包人提供的图纸文件创建全专业的 BIM 模型，检查施工图设计的缺、漏、错4等问题，重点展示建筑、结构和机电专业的模型，形成 BIM 模型审核报告。（1.5 分）</w:t>
            </w:r>
          </w:p>
          <w:p w14:paraId="7060B5D4">
            <w:pPr>
              <w:pStyle w:val="2"/>
              <w:bidi w:val="0"/>
            </w:pPr>
            <w:r>
              <w:t>评审内容和标准:分别提供每栋建筑的建筑、结构、机电专业 BIM 模型(rvt 格式)，满足本项目实施要求，并且满足《建筑信息模型应用统一标准》GB/T51212-2016，模型精度达到 LOD3.0 级别，满足成本估算和设计审查及施工模拟要求。提交模型成果展示动画(2 分钟)，评审投标人对该施工图方案理解的准确性和方案对策的针对性、科学性、可行性程度；提交模型审核报告(pdf 格式)1 份，对施工图存在</w:t>
            </w:r>
          </w:p>
          <w:p w14:paraId="46633570">
            <w:pPr>
              <w:pStyle w:val="2"/>
              <w:bidi w:val="0"/>
            </w:pPr>
            <w:r>
              <w:t>的问题提出处理方案，技术文件文字部分需插入相关的 BIM 图片；提交工程量审核报告(pdf 格式)1 份，选择局部区域工程的 BIM 模型量(土建与安装)统计，并与预算清单对比，技术文件文字部分需插入相关的 BIM 图片。</w:t>
            </w:r>
          </w:p>
          <w:p w14:paraId="23EB2EA8">
            <w:pPr>
              <w:pStyle w:val="2"/>
              <w:bidi w:val="0"/>
            </w:pPr>
            <w:r>
              <w:t>（2）评审子项目名称:结合不同施工阶段(基坑开挖、地下施工、地上主体结构施工、机电安装和装修)进行场地布置及项目施工全过程动态模拟。并分阶段实现项目施工全过程模拟，给出施工难点指导和安全管理重点防控建议。（1 分）</w:t>
            </w:r>
          </w:p>
          <w:p w14:paraId="389F7740">
            <w:pPr>
              <w:pStyle w:val="2"/>
              <w:bidi w:val="0"/>
            </w:pPr>
            <w:r>
              <w:t>评审内容和标准:提交场地现状模型、不同施工阶段(基坑开挖、地下施工、地上主体结构施工、机电安装和装修)场地布置模型(rvt 格式)和展示动画(2 分钟)。基于对该方案理解的准确性和方案对策的针对性、科学性、可行性程度，利用场地现状仿真模拟、场地布置动态模拟、主体结构施工模拟等方法提前预知施工难点和安全管理重点，并提出切实可行的优化建议，技术文件文字部分需插入相关的 BIM 图片。</w:t>
            </w:r>
          </w:p>
          <w:p w14:paraId="5D5F1F13">
            <w:pPr>
              <w:pStyle w:val="2"/>
              <w:bidi w:val="0"/>
            </w:pPr>
            <w:r>
              <w:t>（3）评审子项目名称：依照设计要求及规范对给排水、暖通、电气 、设备安装等机电管线进行综合排布，给出机电施工方案。（1 分）</w:t>
            </w:r>
          </w:p>
          <w:p w14:paraId="312ACD70">
            <w:pPr>
              <w:pStyle w:val="2"/>
              <w:bidi w:val="0"/>
            </w:pPr>
            <w:r>
              <w:t>评审内容和标准:提交机电管线优化 BIM 模型(含设备间)(rvt 格式，提交完整机电优化模型、机电优化调整前后的对比分析动画(1 分钟) 与优化后机电漫游动画(1 分钟)、基于对该方案理解的准确性和方案对策的针对性、科学性、可行性程度，提供机电管线优化方案，符合相关设计规范和施工规范，能够准确指导现场施工，技术文件文字部分需插入相关的 BIM 图片。</w:t>
            </w:r>
          </w:p>
          <w:p w14:paraId="05175E0D">
            <w:pPr>
              <w:pStyle w:val="2"/>
              <w:bidi w:val="0"/>
            </w:pPr>
            <w:r>
              <w:t>（4）评审子项目名称:结合本项目施工的重难点进行施工工艺动画模拟，并给出相应的施工建议。（0.5 分）</w:t>
            </w:r>
          </w:p>
          <w:p w14:paraId="127C131A">
            <w:pPr>
              <w:pStyle w:val="2"/>
              <w:bidi w:val="0"/>
            </w:pPr>
            <w:r>
              <w:t>评审内容和标准:选择机房区域，提交 1 项完整的 4D 模拟施工动画(2分钟)。基于对本项目施工的重难点部位方案理解的准确性和方案对策的针对性、科学性、可行性程度，技术文件文字部分需插入 BIM 图片，并提供相应动画资料，符合相关设计规范和施工规范，能够准确指导现场施工。 </w:t>
            </w:r>
          </w:p>
          <w:p w14:paraId="78CD15B6">
            <w:pPr>
              <w:pStyle w:val="2"/>
              <w:bidi w:val="0"/>
            </w:pPr>
            <w:r>
              <w:t>注:上述 BIM 等信息技术的使用以 PDF 和视频(视频以 MP4 格式)格式提供，模型均需提交.rvt 格式的模型源文件，视频总长不超过 8 分钟，未按上述要求提供不得分。</w:t>
            </w:r>
          </w:p>
        </w:tc>
        <w:tc>
          <w:tcPr>
            <w:tcW w:w="3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E34B7E">
            <w:pPr>
              <w:pStyle w:val="2"/>
              <w:bidi w:val="0"/>
            </w:pPr>
            <w:r>
              <w:t>4</w:t>
            </w:r>
          </w:p>
        </w:tc>
      </w:tr>
      <w:tr w14:paraId="78B2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466937">
            <w:pPr>
              <w:pStyle w:val="2"/>
              <w:bidi w:val="0"/>
              <w:rPr>
                <w:rFonts w:hint="eastAsia"/>
              </w:rPr>
            </w:pPr>
          </w:p>
        </w:tc>
        <w:tc>
          <w:tcPr>
            <w:tcW w:w="7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D76A7E">
            <w:pPr>
              <w:pStyle w:val="2"/>
              <w:bidi w:val="0"/>
              <w:rPr>
                <w:rFonts w:hint="eastAsia"/>
              </w:rPr>
            </w:pPr>
          </w:p>
        </w:tc>
        <w:tc>
          <w:tcPr>
            <w:tcW w:w="5050" w:type="dxa"/>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CA77F3">
            <w:pPr>
              <w:pStyle w:val="2"/>
              <w:bidi w:val="0"/>
            </w:pPr>
            <w:r>
              <w:t>10.项目负责人陈述及答辩</w:t>
            </w:r>
          </w:p>
          <w:p w14:paraId="7D970D67">
            <w:pPr>
              <w:pStyle w:val="2"/>
              <w:bidi w:val="0"/>
            </w:pPr>
            <w:r>
              <w:t>以现场书面形式答辩，以“暗标”形式进行评审，随机出题，共两题；每位项目负责人对两题共同进行答题，每题1分，共2分。答辩采用纸质书写，答题时长总计10分钟。</w:t>
            </w:r>
          </w:p>
          <w:p w14:paraId="172C92BD">
            <w:pPr>
              <w:pStyle w:val="2"/>
              <w:bidi w:val="0"/>
            </w:pPr>
            <w:r>
              <w:t>说明：1、项目负责人答辩内容，由评标委员会成员独立打分，去掉一个最高和最低分，取评委评分的平均值为该项得分。（保留两位小数）</w:t>
            </w:r>
          </w:p>
          <w:p w14:paraId="4A0A3BED">
            <w:pPr>
              <w:pStyle w:val="2"/>
              <w:bidi w:val="0"/>
            </w:pPr>
            <w:r>
              <w:t>2、暗标答辩，答辩标题、内容、文字均不得出现投标人名称、相关人员姓名、可识别投标人身份的字符、徽标、图案以及与本次招投标无关的标识。</w:t>
            </w:r>
          </w:p>
          <w:p w14:paraId="017AFFDF">
            <w:pPr>
              <w:pStyle w:val="2"/>
              <w:bidi w:val="0"/>
            </w:pPr>
            <w:r>
              <w:t>3、拟派项目负责人（注册建造师）携带本人身份证原件及复印件2份（加盖公章）、项目负责人注册证书复印件2份加盖投标人单位公章后，于2025年  月  日9：30前到达新沂市公共资源交易中心，迟到视为放弃答辩，答辩分作0分处理(待答辩房间安排好之后，再现场通知答辩人员按要求进行答辩)。</w:t>
            </w:r>
          </w:p>
        </w:tc>
        <w:tc>
          <w:tcPr>
            <w:tcW w:w="3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88E60C">
            <w:pPr>
              <w:pStyle w:val="2"/>
              <w:bidi w:val="0"/>
            </w:pPr>
            <w:r>
              <w:t>2</w:t>
            </w:r>
          </w:p>
        </w:tc>
      </w:tr>
      <w:tr w14:paraId="020F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295C85E">
            <w:pPr>
              <w:pStyle w:val="2"/>
              <w:bidi w:val="0"/>
              <w:rPr>
                <w:rFonts w:hint="eastAsia"/>
              </w:rPr>
            </w:pPr>
          </w:p>
        </w:tc>
        <w:tc>
          <w:tcPr>
            <w:tcW w:w="6090" w:type="dxa"/>
            <w:gridSpan w:val="4"/>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186F21">
            <w:pPr>
              <w:pStyle w:val="2"/>
              <w:bidi w:val="0"/>
            </w:pPr>
            <w:r>
              <w:t>注： 1.评标委员会按评分因素和评分标准对施工组织设计进行评审。</w:t>
            </w:r>
          </w:p>
          <w:p w14:paraId="69EBF2B1">
            <w:pPr>
              <w:pStyle w:val="2"/>
              <w:bidi w:val="0"/>
            </w:pPr>
            <w:r>
              <w:t>2.投标文件的施工组织设计各评分点得分应当取所有技术标评委评分中分别去掉一个最高和最低评分后的平均值为最终得分，得分保留小数点后两位。</w:t>
            </w:r>
          </w:p>
          <w:p w14:paraId="7C467ABC">
            <w:pPr>
              <w:pStyle w:val="2"/>
              <w:bidi w:val="0"/>
            </w:pPr>
            <w:r>
              <w:t>3.施工组织设计中除缺少相应内容的评审要点不得分外，其它各项评审要点得分不应低于该评审要点满分的70%（不包含篇幅扣分。若其它各项评审要点得分低于该评审要点满分的70%，评标委员会所有成员应统一认定，并作出说明）。</w:t>
            </w:r>
          </w:p>
          <w:p w14:paraId="4E5D159C">
            <w:pPr>
              <w:pStyle w:val="2"/>
              <w:bidi w:val="0"/>
            </w:pPr>
            <w:r>
              <w:t>4.施工组织设计各评分点篇幅要求如上，每超1页的，扣0.01分。</w:t>
            </w:r>
          </w:p>
          <w:p w14:paraId="2F9870D6">
            <w:pPr>
              <w:pStyle w:val="2"/>
              <w:bidi w:val="0"/>
            </w:pPr>
            <w:r>
              <w:t>5.施工组织设计（包括BIM等信息技术的使用、答辩）采用暗标，内容、文字均不得出现投标单位名称、相关人员姓名、可识别投标人身份的字符、徽标、图案以及与本次招投标无关的标识。</w:t>
            </w:r>
          </w:p>
          <w:p w14:paraId="5124CA6A">
            <w:pPr>
              <w:pStyle w:val="2"/>
              <w:bidi w:val="0"/>
            </w:pPr>
            <w:r>
              <w:t>6.评分标准：</w:t>
            </w:r>
          </w:p>
          <w:p w14:paraId="7B0245A7">
            <w:pPr>
              <w:pStyle w:val="2"/>
              <w:bidi w:val="0"/>
            </w:pPr>
            <w:r>
              <w:t>（1）以上某项内容详细具体、科学合理、措施可靠，组织严谨、针对性强，内容完整的，可得该项分值的90%以上；</w:t>
            </w:r>
          </w:p>
          <w:p w14:paraId="13005796">
            <w:pPr>
              <w:pStyle w:val="2"/>
              <w:bidi w:val="0"/>
            </w:pPr>
            <w:r>
              <w:t>（2）以上某项内容较好、针对性较强的，可得该项分值的80%-90%；</w:t>
            </w:r>
          </w:p>
          <w:p w14:paraId="740D2D0E">
            <w:pPr>
              <w:pStyle w:val="2"/>
              <w:bidi w:val="0"/>
            </w:pPr>
            <w:r>
              <w:t>（3）以上某项内容一般、基本可行的，可得该项分值的70%-80%；</w:t>
            </w:r>
          </w:p>
          <w:p w14:paraId="210105A8">
            <w:pPr>
              <w:pStyle w:val="2"/>
              <w:bidi w:val="0"/>
            </w:pPr>
            <w:r>
              <w:t>（4）以上某项无具体内容的，该项不得分。</w:t>
            </w:r>
          </w:p>
        </w:tc>
      </w:tr>
      <w:tr w14:paraId="66A0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FA5E43">
            <w:pPr>
              <w:pStyle w:val="2"/>
              <w:bidi w:val="0"/>
            </w:pPr>
            <w:r>
              <w:t>2.3.3</w:t>
            </w:r>
          </w:p>
          <w:p w14:paraId="6E1C0F9C">
            <w:pPr>
              <w:pStyle w:val="2"/>
              <w:bidi w:val="0"/>
            </w:pPr>
            <w:r>
              <w:t>（3）</w:t>
            </w:r>
          </w:p>
        </w:tc>
        <w:tc>
          <w:tcPr>
            <w:tcW w:w="7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068FC8">
            <w:pPr>
              <w:pStyle w:val="2"/>
              <w:bidi w:val="0"/>
            </w:pPr>
            <w:r>
              <w:t>投标人业绩评分标准</w:t>
            </w:r>
          </w:p>
          <w:p w14:paraId="1299CABF">
            <w:pPr>
              <w:pStyle w:val="2"/>
              <w:bidi w:val="0"/>
            </w:pPr>
            <w:r>
              <w:t>（2分）</w:t>
            </w:r>
          </w:p>
        </w:tc>
        <w:tc>
          <w:tcPr>
            <w:tcW w:w="5360" w:type="dxa"/>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8911554">
            <w:pPr>
              <w:pStyle w:val="2"/>
              <w:bidi w:val="0"/>
            </w:pPr>
            <w:r>
              <w:t>投标人自2022年11月1日（含）以来承接过类似工程【类似工程指单项合同金额3300万元（含）以上的建筑工程】类似工程业绩以“江苏省公共资源交易经营主体信息库系统”（http://49.77.204.17:7082//jsztk/#/login?redirect=%2F）”中链接的业绩为准；业绩证明材料需提供中标通知书、施工合同及竣工验收证明（直接发包项目以施工合同、竣工验收证明为准）。施工合同证明材料还需提供全国建筑市场监管公共服务平台的相应查询网页截图和查询链接网址。以上必须同时具备。类似工程业绩的金额以合同中注明的金额为准，时间以竣工验收证明为准。有一项得1分，满分2分。</w:t>
            </w:r>
          </w:p>
          <w:p w14:paraId="330D19F5">
            <w:pPr>
              <w:pStyle w:val="2"/>
              <w:bidi w:val="0"/>
            </w:pPr>
            <w:r>
              <w:t>注：资格审查的业绩与评分业绩不重复计取。</w:t>
            </w:r>
          </w:p>
        </w:tc>
      </w:tr>
    </w:tbl>
    <w:p w14:paraId="5823D760">
      <w:pPr>
        <w:pStyle w:val="2"/>
        <w:bidi w:val="0"/>
      </w:pPr>
      <w:r>
        <w:rPr>
          <w:rFonts w:hint="eastAsia"/>
        </w:rPr>
        <w:t>9.发布公告的媒介</w:t>
      </w:r>
    </w:p>
    <w:p w14:paraId="495B8152">
      <w:pPr>
        <w:pStyle w:val="2"/>
        <w:bidi w:val="0"/>
      </w:pPr>
      <w:r>
        <w:rPr>
          <w:rFonts w:hint="eastAsia"/>
        </w:rPr>
        <w:t>本次招标公告同时在江苏建设工程招标网（http://www.jszb.com.cn/jszb/）、徐州市公共资源交易平台（http://ggzy.zwb.xz.gov.cn）上发布。</w:t>
      </w:r>
    </w:p>
    <w:p w14:paraId="15EEF36D">
      <w:pPr>
        <w:pStyle w:val="2"/>
        <w:bidi w:val="0"/>
      </w:pPr>
      <w:r>
        <w:rPr>
          <w:rFonts w:hint="eastAsia"/>
        </w:rPr>
        <w:t>10.其他</w:t>
      </w:r>
    </w:p>
    <w:p w14:paraId="7BC46533">
      <w:pPr>
        <w:pStyle w:val="2"/>
        <w:bidi w:val="0"/>
      </w:pPr>
      <w:r>
        <w:rPr>
          <w:rFonts w:hint="eastAsia"/>
        </w:rPr>
        <w:t>10.1 投标人存在串通投标、以他人名义投标、弄虚作假等违法违规行为， 或者无正当理由放弃投标、中标资格，招标人有权拒绝退还其投标保证金。</w:t>
      </w:r>
    </w:p>
    <w:p w14:paraId="60A09D12">
      <w:pPr>
        <w:pStyle w:val="2"/>
        <w:bidi w:val="0"/>
      </w:pPr>
      <w:r>
        <w:rPr>
          <w:rFonts w:hint="eastAsia"/>
        </w:rPr>
        <w:t>10.2 本工程采用远程不见面开标方式。在开标过程如遇到问题，请及时联系技术支持客服电话，电话为：4009980000。</w:t>
      </w:r>
    </w:p>
    <w:p w14:paraId="38F3AE44">
      <w:pPr>
        <w:pStyle w:val="2"/>
        <w:bidi w:val="0"/>
      </w:pPr>
      <w:r>
        <w:rPr>
          <w:rFonts w:hint="eastAsia"/>
        </w:rPr>
        <w:t>11. 联系方式</w:t>
      </w:r>
    </w:p>
    <w:p w14:paraId="1A264ABD">
      <w:pPr>
        <w:pStyle w:val="2"/>
        <w:bidi w:val="0"/>
      </w:pPr>
      <w:r>
        <w:rPr>
          <w:rFonts w:hint="eastAsia"/>
        </w:rPr>
        <w:t>招标人：新沂市粮食购销有限公司     招标代理机构：江苏丛泰建设工程管理有限公司</w:t>
      </w:r>
    </w:p>
    <w:p w14:paraId="6713F3F0">
      <w:pPr>
        <w:pStyle w:val="2"/>
        <w:bidi w:val="0"/>
      </w:pPr>
      <w:r>
        <w:rPr>
          <w:rFonts w:hint="eastAsia"/>
        </w:rPr>
        <w:t>地   址：新沂市钟吾南路交通大楼                                地  址： 新沂市新华路建委综合楼4楼      </w:t>
      </w:r>
    </w:p>
    <w:p w14:paraId="6C2C8652">
      <w:pPr>
        <w:pStyle w:val="2"/>
        <w:bidi w:val="0"/>
      </w:pPr>
      <w:r>
        <w:rPr>
          <w:rFonts w:hint="eastAsia"/>
        </w:rPr>
        <w:t>联系人：  鲁先生                      联 系 人：    王士瑞                  </w:t>
      </w:r>
    </w:p>
    <w:p w14:paraId="1DE056EC">
      <w:pPr>
        <w:pStyle w:val="2"/>
        <w:bidi w:val="0"/>
      </w:pPr>
      <w:r>
        <w:rPr>
          <w:rFonts w:hint="eastAsia"/>
        </w:rPr>
        <w:t>电  话：  0516-88985576                 电    话：   0516-69905157           </w:t>
      </w:r>
    </w:p>
    <w:p w14:paraId="0361B1DB">
      <w:pPr>
        <w:pStyle w:val="2"/>
        <w:bidi w:val="0"/>
      </w:pPr>
      <w:r>
        <w:rPr>
          <w:rFonts w:hint="eastAsia"/>
        </w:rPr>
        <w:t>2025年11月05日</w:t>
      </w:r>
    </w:p>
    <w:p w14:paraId="366DB529">
      <w:pPr>
        <w:pStyle w:val="2"/>
        <w:bidi w:val="0"/>
        <w:rPr>
          <w:rFonts w:hint="eastAsia"/>
        </w:rPr>
      </w:pPr>
      <w:r>
        <w:rPr>
          <w:rFonts w:hint="eastAsia"/>
          <w:lang w:val="en-US" w:eastAsia="zh-CN"/>
        </w:rPr>
        <w:t> </w:t>
      </w:r>
    </w:p>
    <w:p w14:paraId="1DD2A89A">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25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6553</Words>
  <Characters>7475</Characters>
  <Lines>0</Lines>
  <Paragraphs>0</Paragraphs>
  <TotalTime>0</TotalTime>
  <ScaleCrop>false</ScaleCrop>
  <LinksUpToDate>false</LinksUpToDate>
  <CharactersWithSpaces>7796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2025-11-07T08:15:47Z</dcterms:created>
  <dc:creator>28039</dc:creator>
  <cp:lastModifiedBy>璇儿</cp:lastModifiedBy>
  <dcterms:modified xsi:type="dcterms:W3CDTF">2025-11-07T08:15:52Z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E1C35322B2914794B69225DA06FFF0AA_12</vt:lpwstr>
  </property>
</Properties>
</file>