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63E09F">
      <w:pPr>
        <w:pStyle w:val="2"/>
        <w:bidi w:val="0"/>
        <w:rPr>
          <w:color w:val="auto"/>
        </w:rPr>
      </w:pPr>
      <w:bookmarkStart w:id="3" w:name="_GoBack"/>
      <w:r>
        <w:rPr>
          <w:rFonts w:hint="eastAsia"/>
          <w:color w:val="auto"/>
        </w:rPr>
        <w:t>中邮通建设咨询有限公司（以下简称“代理机构”）受中国邮政集团有限公司江苏省分公司（以下简称“采购人”）委托，拟就“中国邮政集团有限公司江苏省分公司2025-2027年无锡市分公司市区包裹快递揽收业务外包项目（三次）”(采购编号：ZYT-20250928-010)以公开竞争性磋商方式对有能力为本项目提供产品和服务的供应商进行采购，现邀请合格供应商提交</w:t>
      </w:r>
      <w:r>
        <w:rPr>
          <w:rFonts w:hint="eastAsia"/>
          <w:color w:val="auto"/>
        </w:rPr>
        <w:fldChar w:fldCharType="begin"/>
      </w:r>
      <w:r>
        <w:rPr>
          <w:rFonts w:hint="eastAsia"/>
          <w:color w:val="auto"/>
        </w:rPr>
        <w:instrText xml:space="preserve"> HYPERLINK "javascript:setPayZixun()" \o "标书制作" </w:instrText>
      </w:r>
      <w:r>
        <w:rPr>
          <w:rFonts w:hint="eastAsia"/>
          <w:color w:val="auto"/>
        </w:rPr>
        <w:fldChar w:fldCharType="separate"/>
      </w:r>
      <w:r>
        <w:rPr>
          <w:rStyle w:val="5"/>
          <w:rFonts w:hint="eastAsia" w:ascii="宋体" w:hAnsi="宋体" w:eastAsia="宋体" w:cs="宋体"/>
          <w:i w:val="0"/>
          <w:iCs w:val="0"/>
          <w:caps w:val="0"/>
          <w:color w:val="auto"/>
          <w:spacing w:val="0"/>
          <w:szCs w:val="24"/>
          <w:u w:val="none"/>
          <w:bdr w:val="none" w:color="auto" w:sz="0" w:space="0"/>
          <w:shd w:val="clear" w:fill="FAFAFA"/>
        </w:rPr>
        <w:t>响应文件</w:t>
      </w:r>
      <w:r>
        <w:rPr>
          <w:rFonts w:hint="eastAsia"/>
          <w:color w:val="auto"/>
        </w:rPr>
        <w:fldChar w:fldCharType="end"/>
      </w:r>
      <w:r>
        <w:rPr>
          <w:rFonts w:hint="eastAsia"/>
          <w:color w:val="auto"/>
        </w:rPr>
        <w:t>并参与竞争性磋商。</w:t>
      </w:r>
    </w:p>
    <w:p w14:paraId="2799CC2A">
      <w:pPr>
        <w:pStyle w:val="2"/>
        <w:bidi w:val="0"/>
        <w:rPr>
          <w:rFonts w:hint="eastAsia"/>
          <w:color w:val="auto"/>
        </w:rPr>
      </w:pPr>
      <w:r>
        <w:rPr>
          <w:rFonts w:hint="eastAsia"/>
          <w:color w:val="auto"/>
        </w:rPr>
        <w:t>一、项目名称</w:t>
      </w:r>
    </w:p>
    <w:p w14:paraId="5E9A8DC5">
      <w:pPr>
        <w:pStyle w:val="2"/>
        <w:bidi w:val="0"/>
        <w:rPr>
          <w:rFonts w:hint="eastAsia"/>
          <w:color w:val="auto"/>
        </w:rPr>
      </w:pPr>
      <w:r>
        <w:rPr>
          <w:rFonts w:hint="eastAsia"/>
          <w:color w:val="auto"/>
        </w:rPr>
        <w:t>中国邮政集团有限公司江苏省分公司2025-2027年无锡市分公司市区包裹快递揽收业务外包项目（三次）</w:t>
      </w:r>
    </w:p>
    <w:p w14:paraId="3B78D3E6">
      <w:pPr>
        <w:pStyle w:val="2"/>
        <w:bidi w:val="0"/>
        <w:rPr>
          <w:rFonts w:hint="eastAsia"/>
          <w:color w:val="auto"/>
        </w:rPr>
      </w:pPr>
      <w:r>
        <w:rPr>
          <w:rFonts w:hint="eastAsia"/>
          <w:color w:val="auto"/>
        </w:rPr>
        <w:t>二、项目编号</w:t>
      </w:r>
    </w:p>
    <w:p w14:paraId="19575CEF">
      <w:pPr>
        <w:pStyle w:val="2"/>
        <w:bidi w:val="0"/>
        <w:rPr>
          <w:rFonts w:hint="eastAsia"/>
          <w:color w:val="auto"/>
        </w:rPr>
      </w:pPr>
      <w:r>
        <w:rPr>
          <w:rFonts w:hint="eastAsia"/>
          <w:color w:val="auto"/>
        </w:rPr>
        <w:t>ZYT-20250928-010</w:t>
      </w:r>
    </w:p>
    <w:p w14:paraId="0C987FE2">
      <w:pPr>
        <w:pStyle w:val="2"/>
        <w:bidi w:val="0"/>
        <w:rPr>
          <w:rFonts w:hint="eastAsia"/>
          <w:color w:val="auto"/>
        </w:rPr>
      </w:pPr>
      <w:r>
        <w:rPr>
          <w:rFonts w:hint="eastAsia"/>
          <w:color w:val="auto"/>
        </w:rPr>
        <w:t>三、采购内容：</w:t>
      </w:r>
    </w:p>
    <w:p w14:paraId="6CACE36A">
      <w:pPr>
        <w:pStyle w:val="2"/>
        <w:bidi w:val="0"/>
        <w:rPr>
          <w:rFonts w:hint="eastAsia"/>
          <w:color w:val="auto"/>
        </w:rPr>
      </w:pPr>
      <w:r>
        <w:rPr>
          <w:rFonts w:hint="eastAsia"/>
          <w:color w:val="auto"/>
        </w:rPr>
        <w:t>（1）采购内容为无锡市区包裹快递（快递包裹、电商标快）揽收和运输服务（客户范围不含仓配集项目客户），由外包公司提供人员、车辆等揽收设备。</w:t>
      </w:r>
    </w:p>
    <w:p w14:paraId="5ECE7FFA">
      <w:pPr>
        <w:pStyle w:val="2"/>
        <w:bidi w:val="0"/>
        <w:rPr>
          <w:rFonts w:hint="eastAsia"/>
          <w:color w:val="auto"/>
        </w:rPr>
      </w:pPr>
      <w:r>
        <w:rPr>
          <w:rFonts w:hint="eastAsia"/>
          <w:color w:val="auto"/>
        </w:rPr>
        <w:t>（2）本项目设置最高限价，投标人按照综合折扣报价，综合折扣保留小数点后2位，如:98.88%、92.34%等，综合折扣不高于100%，否则作无效投标处理，中标供应商所报折扣乘各业务量区间最高限价即为各业务量区间结算单价（最终结算单价保留四位小数），各业务量区间最高限价具体如下：</w:t>
      </w:r>
    </w:p>
    <w:tbl>
      <w:tblPr>
        <w:tblW w:w="6858" w:type="dxa"/>
        <w:jc w:val="center"/>
        <w:tblBorders>
          <w:top w:val="single" w:color="D1D1D1" w:sz="4" w:space="0"/>
          <w:left w:val="single" w:color="D1D1D1" w:sz="4" w:space="0"/>
          <w:bottom w:val="single" w:color="D1D1D1" w:sz="4" w:space="0"/>
          <w:right w:val="single" w:color="D1D1D1" w:sz="4" w:space="0"/>
          <w:insideH w:val="none" w:color="auto" w:sz="0" w:space="0"/>
          <w:insideV w:val="none" w:color="auto" w:sz="0" w:space="0"/>
        </w:tblBorders>
        <w:shd w:val="clear"/>
        <w:tblLayout w:type="autofit"/>
        <w:tblCellMar>
          <w:top w:w="0" w:type="dxa"/>
          <w:left w:w="0" w:type="dxa"/>
          <w:bottom w:w="0" w:type="dxa"/>
          <w:right w:w="0" w:type="dxa"/>
        </w:tblCellMar>
      </w:tblPr>
      <w:tblGrid>
        <w:gridCol w:w="1441"/>
        <w:gridCol w:w="2169"/>
        <w:gridCol w:w="1557"/>
        <w:gridCol w:w="843"/>
        <w:gridCol w:w="848"/>
      </w:tblGrid>
      <w:tr w14:paraId="7CC7A0BC">
        <w:tblPrEx>
          <w:tblBorders>
            <w:top w:val="single" w:color="D1D1D1" w:sz="4" w:space="0"/>
            <w:left w:val="single" w:color="D1D1D1" w:sz="4" w:space="0"/>
            <w:bottom w:val="single" w:color="D1D1D1" w:sz="4" w:space="0"/>
            <w:right w:val="single" w:color="D1D1D1" w:sz="4" w:space="0"/>
            <w:insideH w:val="none" w:color="auto" w:sz="0" w:space="0"/>
            <w:insideV w:val="none" w:color="auto" w:sz="0" w:space="0"/>
          </w:tblBorders>
          <w:shd w:val="clear"/>
          <w:tblCellMar>
            <w:top w:w="0" w:type="dxa"/>
            <w:left w:w="0" w:type="dxa"/>
            <w:bottom w:w="0" w:type="dxa"/>
            <w:right w:w="0" w:type="dxa"/>
          </w:tblCellMar>
        </w:tblPrEx>
        <w:trPr>
          <w:trHeight w:val="520" w:hRule="atLeast"/>
          <w:jc w:val="center"/>
        </w:trPr>
        <w:tc>
          <w:tcPr>
            <w:tcW w:w="1292" w:type="dxa"/>
            <w:tcBorders>
              <w:top w:val="single" w:color="D1D1D1" w:sz="4" w:space="0"/>
              <w:left w:val="single" w:color="D1D1D1" w:sz="4" w:space="0"/>
              <w:bottom w:val="single" w:color="D1D1D1" w:sz="6" w:space="0"/>
              <w:right w:val="single" w:color="D1D1D1" w:sz="6" w:space="0"/>
            </w:tcBorders>
            <w:shd w:val="clear" w:color="auto" w:fill="FFFFFF"/>
            <w:tcMar>
              <w:left w:w="101" w:type="dxa"/>
              <w:right w:w="101" w:type="dxa"/>
            </w:tcMar>
            <w:vAlign w:val="center"/>
          </w:tcPr>
          <w:p w14:paraId="4AC8C31F">
            <w:pPr>
              <w:pStyle w:val="2"/>
              <w:bidi w:val="0"/>
              <w:rPr>
                <w:rFonts w:hint="eastAsia"/>
                <w:color w:val="auto"/>
              </w:rPr>
            </w:pPr>
            <w:bookmarkStart w:id="0" w:name="OLE_LINK13"/>
            <w:r>
              <w:rPr>
                <w:rFonts w:hint="eastAsia"/>
                <w:color w:val="auto"/>
              </w:rPr>
              <w:t>重量区间</w:t>
            </w:r>
            <w:bookmarkEnd w:id="0"/>
          </w:p>
        </w:tc>
        <w:tc>
          <w:tcPr>
            <w:tcW w:w="1944" w:type="dxa"/>
            <w:tcBorders>
              <w:top w:val="single" w:color="D1D1D1" w:sz="4" w:space="0"/>
              <w:left w:val="single" w:color="D1D1D1" w:sz="6" w:space="0"/>
              <w:bottom w:val="single" w:color="D1D1D1" w:sz="6" w:space="0"/>
              <w:right w:val="single" w:color="D1D1D1" w:sz="6" w:space="0"/>
            </w:tcBorders>
            <w:shd w:val="clear" w:color="auto" w:fill="FFFFFF"/>
            <w:tcMar>
              <w:left w:w="101" w:type="dxa"/>
              <w:right w:w="101" w:type="dxa"/>
            </w:tcMar>
            <w:vAlign w:val="center"/>
          </w:tcPr>
          <w:p w14:paraId="45419BFA">
            <w:pPr>
              <w:pStyle w:val="2"/>
              <w:bidi w:val="0"/>
              <w:rPr>
                <w:rFonts w:hint="eastAsia"/>
                <w:color w:val="auto"/>
              </w:rPr>
            </w:pPr>
            <w:r>
              <w:rPr>
                <w:rFonts w:hint="eastAsia"/>
                <w:color w:val="auto"/>
              </w:rPr>
              <w:t>业务量区间</w:t>
            </w:r>
          </w:p>
        </w:tc>
        <w:tc>
          <w:tcPr>
            <w:tcW w:w="1396" w:type="dxa"/>
            <w:tcBorders>
              <w:top w:val="single" w:color="D1D1D1" w:sz="4" w:space="0"/>
              <w:left w:val="single" w:color="D1D1D1" w:sz="6" w:space="0"/>
              <w:bottom w:val="single" w:color="D1D1D1" w:sz="6" w:space="0"/>
              <w:right w:val="single" w:color="D1D1D1" w:sz="6" w:space="0"/>
            </w:tcBorders>
            <w:shd w:val="clear" w:color="auto" w:fill="FFFFFF"/>
            <w:tcMar>
              <w:left w:w="101" w:type="dxa"/>
              <w:right w:w="101" w:type="dxa"/>
            </w:tcMar>
            <w:vAlign w:val="center"/>
          </w:tcPr>
          <w:p w14:paraId="062DFC9C">
            <w:pPr>
              <w:pStyle w:val="2"/>
              <w:bidi w:val="0"/>
              <w:rPr>
                <w:rFonts w:hint="eastAsia"/>
                <w:color w:val="auto"/>
              </w:rPr>
            </w:pPr>
            <w:r>
              <w:rPr>
                <w:rFonts w:hint="eastAsia"/>
                <w:color w:val="auto"/>
              </w:rPr>
              <w:t>阶梯最高限价单价（含税，元/件）</w:t>
            </w:r>
          </w:p>
        </w:tc>
        <w:tc>
          <w:tcPr>
            <w:tcW w:w="756" w:type="dxa"/>
            <w:tcBorders>
              <w:top w:val="single" w:color="D1D1D1" w:sz="4" w:space="0"/>
              <w:left w:val="single" w:color="D1D1D1" w:sz="6" w:space="0"/>
              <w:bottom w:val="single" w:color="D1D1D1" w:sz="6" w:space="0"/>
              <w:right w:val="single" w:color="D1D1D1" w:sz="6" w:space="0"/>
            </w:tcBorders>
            <w:shd w:val="clear" w:color="auto" w:fill="FFFFFF"/>
            <w:tcMar>
              <w:left w:w="101" w:type="dxa"/>
              <w:right w:w="101" w:type="dxa"/>
            </w:tcMar>
            <w:vAlign w:val="center"/>
          </w:tcPr>
          <w:p w14:paraId="6FB08AE4">
            <w:pPr>
              <w:pStyle w:val="2"/>
              <w:bidi w:val="0"/>
              <w:rPr>
                <w:rFonts w:hint="eastAsia"/>
                <w:color w:val="auto"/>
              </w:rPr>
            </w:pPr>
            <w:r>
              <w:rPr>
                <w:rFonts w:hint="eastAsia"/>
                <w:color w:val="auto"/>
              </w:rPr>
              <w:fldChar w:fldCharType="begin"/>
            </w:r>
            <w:r>
              <w:rPr>
                <w:rFonts w:hint="eastAsia"/>
                <w:color w:val="auto"/>
              </w:rPr>
              <w:instrText xml:space="preserve"> HYPERLINK "javascript:setPayZixun()" \o "标书制作" </w:instrText>
            </w:r>
            <w:r>
              <w:rPr>
                <w:rFonts w:hint="eastAsia"/>
                <w:color w:val="auto"/>
              </w:rPr>
              <w:fldChar w:fldCharType="separate"/>
            </w:r>
            <w:r>
              <w:rPr>
                <w:rStyle w:val="5"/>
                <w:rFonts w:hint="eastAsia" w:ascii="宋体" w:hAnsi="宋体" w:eastAsia="宋体" w:cs="宋体"/>
                <w:b/>
                <w:bCs/>
                <w:color w:val="auto"/>
                <w:szCs w:val="21"/>
                <w:u w:val="none"/>
                <w:bdr w:val="none" w:color="auto" w:sz="0" w:space="0"/>
              </w:rPr>
              <w:t>预算</w:t>
            </w:r>
            <w:r>
              <w:rPr>
                <w:rFonts w:hint="eastAsia"/>
                <w:color w:val="auto"/>
              </w:rPr>
              <w:fldChar w:fldCharType="end"/>
            </w:r>
          </w:p>
          <w:p w14:paraId="342B3B86">
            <w:pPr>
              <w:pStyle w:val="2"/>
              <w:bidi w:val="0"/>
              <w:rPr>
                <w:rFonts w:hint="eastAsia"/>
                <w:color w:val="auto"/>
              </w:rPr>
            </w:pPr>
            <w:r>
              <w:rPr>
                <w:rFonts w:hint="eastAsia"/>
                <w:color w:val="auto"/>
              </w:rPr>
              <w:t>（万元）</w:t>
            </w:r>
          </w:p>
        </w:tc>
        <w:tc>
          <w:tcPr>
            <w:tcW w:w="760" w:type="dxa"/>
            <w:tcBorders>
              <w:top w:val="single" w:color="D1D1D1" w:sz="4" w:space="0"/>
              <w:left w:val="single" w:color="D1D1D1" w:sz="6" w:space="0"/>
              <w:bottom w:val="single" w:color="D1D1D1" w:sz="6" w:space="0"/>
              <w:right w:val="single" w:color="D1D1D1" w:sz="4" w:space="0"/>
            </w:tcBorders>
            <w:shd w:val="clear" w:color="auto" w:fill="FFFFFF"/>
            <w:tcMar>
              <w:left w:w="101" w:type="dxa"/>
              <w:right w:w="101" w:type="dxa"/>
            </w:tcMar>
            <w:vAlign w:val="center"/>
          </w:tcPr>
          <w:p w14:paraId="2863CB95">
            <w:pPr>
              <w:pStyle w:val="2"/>
              <w:bidi w:val="0"/>
              <w:rPr>
                <w:rFonts w:hint="eastAsia"/>
                <w:color w:val="auto"/>
              </w:rPr>
            </w:pPr>
            <w:r>
              <w:rPr>
                <w:rFonts w:hint="eastAsia"/>
                <w:color w:val="auto"/>
              </w:rPr>
              <w:t>合同期限</w:t>
            </w:r>
          </w:p>
        </w:tc>
      </w:tr>
      <w:tr w14:paraId="01753C5A">
        <w:tblPrEx>
          <w:tblBorders>
            <w:top w:val="single" w:color="D1D1D1" w:sz="4" w:space="0"/>
            <w:left w:val="single" w:color="D1D1D1" w:sz="4" w:space="0"/>
            <w:bottom w:val="single" w:color="D1D1D1" w:sz="4" w:space="0"/>
            <w:right w:val="single" w:color="D1D1D1" w:sz="4" w:space="0"/>
            <w:insideH w:val="none" w:color="auto" w:sz="0" w:space="0"/>
            <w:insideV w:val="none" w:color="auto" w:sz="0" w:space="0"/>
          </w:tblBorders>
          <w:tblCellMar>
            <w:top w:w="0" w:type="dxa"/>
            <w:left w:w="0" w:type="dxa"/>
            <w:bottom w:w="0" w:type="dxa"/>
            <w:right w:w="0" w:type="dxa"/>
          </w:tblCellMar>
        </w:tblPrEx>
        <w:trPr>
          <w:trHeight w:val="363" w:hRule="atLeast"/>
          <w:jc w:val="center"/>
        </w:trPr>
        <w:tc>
          <w:tcPr>
            <w:tcW w:w="1292" w:type="dxa"/>
            <w:vMerge w:val="restart"/>
            <w:tcBorders>
              <w:top w:val="single" w:color="D1D1D1" w:sz="6" w:space="0"/>
              <w:left w:val="single" w:color="D1D1D1" w:sz="4" w:space="0"/>
              <w:bottom w:val="single" w:color="D1D1D1" w:sz="6" w:space="0"/>
              <w:right w:val="single" w:color="D1D1D1" w:sz="6" w:space="0"/>
            </w:tcBorders>
            <w:shd w:val="clear" w:color="auto" w:fill="FFFFFF"/>
            <w:tcMar>
              <w:left w:w="101" w:type="dxa"/>
              <w:right w:w="101" w:type="dxa"/>
            </w:tcMar>
            <w:vAlign w:val="center"/>
          </w:tcPr>
          <w:p w14:paraId="781C84D7">
            <w:pPr>
              <w:pStyle w:val="2"/>
              <w:bidi w:val="0"/>
              <w:rPr>
                <w:rFonts w:hint="eastAsia"/>
                <w:color w:val="auto"/>
              </w:rPr>
            </w:pPr>
            <w:r>
              <w:rPr>
                <w:rFonts w:hint="eastAsia"/>
                <w:color w:val="auto"/>
              </w:rPr>
              <w:t>300g（含）以下</w:t>
            </w:r>
          </w:p>
        </w:tc>
        <w:tc>
          <w:tcPr>
            <w:tcW w:w="1944" w:type="dxa"/>
            <w:tcBorders>
              <w:top w:val="single" w:color="D1D1D1" w:sz="6" w:space="0"/>
              <w:left w:val="single" w:color="D1D1D1" w:sz="6" w:space="0"/>
              <w:bottom w:val="single" w:color="D1D1D1" w:sz="6" w:space="0"/>
              <w:right w:val="single" w:color="D1D1D1" w:sz="6" w:space="0"/>
            </w:tcBorders>
            <w:shd w:val="clear" w:color="auto" w:fill="FFFFFF"/>
            <w:tcMar>
              <w:left w:w="101" w:type="dxa"/>
              <w:right w:w="101" w:type="dxa"/>
            </w:tcMar>
            <w:vAlign w:val="center"/>
          </w:tcPr>
          <w:p w14:paraId="19F59F4C">
            <w:pPr>
              <w:pStyle w:val="2"/>
              <w:bidi w:val="0"/>
              <w:rPr>
                <w:rFonts w:hint="eastAsia"/>
                <w:color w:val="auto"/>
              </w:rPr>
            </w:pPr>
            <w:r>
              <w:rPr>
                <w:rFonts w:hint="eastAsia"/>
                <w:color w:val="auto"/>
              </w:rPr>
              <w:t>月日均业务量≦7.1万件</w:t>
            </w:r>
          </w:p>
        </w:tc>
        <w:tc>
          <w:tcPr>
            <w:tcW w:w="1396" w:type="dxa"/>
            <w:tcBorders>
              <w:top w:val="single" w:color="D1D1D1" w:sz="6" w:space="0"/>
              <w:left w:val="single" w:color="D1D1D1" w:sz="6" w:space="0"/>
              <w:bottom w:val="single" w:color="D1D1D1" w:sz="6" w:space="0"/>
              <w:right w:val="single" w:color="D1D1D1" w:sz="6" w:space="0"/>
            </w:tcBorders>
            <w:shd w:val="clear" w:color="auto" w:fill="FFFFFF"/>
            <w:tcMar>
              <w:left w:w="101" w:type="dxa"/>
              <w:right w:w="101" w:type="dxa"/>
            </w:tcMar>
            <w:vAlign w:val="center"/>
          </w:tcPr>
          <w:p w14:paraId="4CADAEAC">
            <w:pPr>
              <w:pStyle w:val="2"/>
              <w:bidi w:val="0"/>
              <w:rPr>
                <w:rFonts w:hint="eastAsia"/>
                <w:color w:val="auto"/>
              </w:rPr>
            </w:pPr>
            <w:r>
              <w:rPr>
                <w:rFonts w:hint="eastAsia"/>
                <w:color w:val="auto"/>
              </w:rPr>
              <w:t>0.150</w:t>
            </w:r>
          </w:p>
        </w:tc>
        <w:tc>
          <w:tcPr>
            <w:tcW w:w="756" w:type="dxa"/>
            <w:vMerge w:val="restart"/>
            <w:tcBorders>
              <w:top w:val="single" w:color="D1D1D1" w:sz="6" w:space="0"/>
              <w:left w:val="single" w:color="D1D1D1" w:sz="6" w:space="0"/>
              <w:bottom w:val="single" w:color="D1D1D1" w:sz="6" w:space="0"/>
              <w:right w:val="single" w:color="D1D1D1" w:sz="6" w:space="0"/>
            </w:tcBorders>
            <w:shd w:val="clear" w:color="auto" w:fill="FFFFFF"/>
            <w:tcMar>
              <w:left w:w="101" w:type="dxa"/>
              <w:right w:w="101" w:type="dxa"/>
            </w:tcMar>
            <w:vAlign w:val="center"/>
          </w:tcPr>
          <w:p w14:paraId="249CA4DA">
            <w:pPr>
              <w:pStyle w:val="2"/>
              <w:bidi w:val="0"/>
              <w:rPr>
                <w:rFonts w:hint="eastAsia"/>
                <w:color w:val="auto"/>
              </w:rPr>
            </w:pPr>
            <w:r>
              <w:rPr>
                <w:rFonts w:hint="eastAsia"/>
                <w:color w:val="auto"/>
              </w:rPr>
              <w:t>1471.00</w:t>
            </w:r>
          </w:p>
        </w:tc>
        <w:tc>
          <w:tcPr>
            <w:tcW w:w="760" w:type="dxa"/>
            <w:vMerge w:val="restart"/>
            <w:tcBorders>
              <w:top w:val="single" w:color="D1D1D1" w:sz="6" w:space="0"/>
              <w:left w:val="single" w:color="D1D1D1" w:sz="6" w:space="0"/>
              <w:bottom w:val="single" w:color="D1D1D1" w:sz="6" w:space="0"/>
              <w:right w:val="single" w:color="D1D1D1" w:sz="4" w:space="0"/>
            </w:tcBorders>
            <w:shd w:val="clear" w:color="auto" w:fill="FFFFFF"/>
            <w:tcMar>
              <w:left w:w="101" w:type="dxa"/>
              <w:right w:w="101" w:type="dxa"/>
            </w:tcMar>
            <w:vAlign w:val="center"/>
          </w:tcPr>
          <w:p w14:paraId="20D9BD29">
            <w:pPr>
              <w:pStyle w:val="2"/>
              <w:bidi w:val="0"/>
              <w:rPr>
                <w:rFonts w:hint="eastAsia"/>
                <w:color w:val="auto"/>
              </w:rPr>
            </w:pPr>
            <w:r>
              <w:rPr>
                <w:rFonts w:hint="eastAsia"/>
                <w:color w:val="auto"/>
              </w:rPr>
              <w:t>24个月</w:t>
            </w:r>
          </w:p>
        </w:tc>
      </w:tr>
      <w:tr w14:paraId="2AA57EC4">
        <w:tblPrEx>
          <w:tblBorders>
            <w:top w:val="single" w:color="D1D1D1" w:sz="4" w:space="0"/>
            <w:left w:val="single" w:color="D1D1D1" w:sz="4" w:space="0"/>
            <w:bottom w:val="single" w:color="D1D1D1" w:sz="4" w:space="0"/>
            <w:right w:val="single" w:color="D1D1D1" w:sz="4" w:space="0"/>
            <w:insideH w:val="none" w:color="auto" w:sz="0" w:space="0"/>
            <w:insideV w:val="none" w:color="auto" w:sz="0" w:space="0"/>
          </w:tblBorders>
          <w:tblCellMar>
            <w:top w:w="0" w:type="dxa"/>
            <w:left w:w="0" w:type="dxa"/>
            <w:bottom w:w="0" w:type="dxa"/>
            <w:right w:w="0" w:type="dxa"/>
          </w:tblCellMar>
        </w:tblPrEx>
        <w:trPr>
          <w:trHeight w:val="363" w:hRule="atLeast"/>
          <w:jc w:val="center"/>
        </w:trPr>
        <w:tc>
          <w:tcPr>
            <w:tcW w:w="1292" w:type="dxa"/>
            <w:vMerge w:val="continue"/>
            <w:tcBorders>
              <w:top w:val="single" w:color="D1D1D1" w:sz="6" w:space="0"/>
              <w:left w:val="single" w:color="D1D1D1" w:sz="4" w:space="0"/>
              <w:bottom w:val="single" w:color="D1D1D1" w:sz="6" w:space="0"/>
              <w:right w:val="single" w:color="D1D1D1" w:sz="6" w:space="0"/>
            </w:tcBorders>
            <w:shd w:val="clear" w:color="auto" w:fill="FFFFFF"/>
            <w:tcMar>
              <w:left w:w="101" w:type="dxa"/>
              <w:right w:w="101" w:type="dxa"/>
            </w:tcMar>
            <w:vAlign w:val="center"/>
          </w:tcPr>
          <w:p w14:paraId="31DA4E5A">
            <w:pPr>
              <w:pStyle w:val="2"/>
              <w:bidi w:val="0"/>
              <w:rPr>
                <w:rFonts w:hint="eastAsia"/>
                <w:color w:val="auto"/>
              </w:rPr>
            </w:pPr>
          </w:p>
        </w:tc>
        <w:tc>
          <w:tcPr>
            <w:tcW w:w="1944" w:type="dxa"/>
            <w:tcBorders>
              <w:top w:val="single" w:color="D1D1D1" w:sz="6" w:space="0"/>
              <w:left w:val="single" w:color="D1D1D1" w:sz="6" w:space="0"/>
              <w:bottom w:val="single" w:color="D1D1D1" w:sz="6" w:space="0"/>
              <w:right w:val="single" w:color="D1D1D1" w:sz="6" w:space="0"/>
            </w:tcBorders>
            <w:shd w:val="clear" w:color="auto" w:fill="FFFFFF"/>
            <w:tcMar>
              <w:left w:w="101" w:type="dxa"/>
              <w:right w:w="101" w:type="dxa"/>
            </w:tcMar>
            <w:vAlign w:val="center"/>
          </w:tcPr>
          <w:p w14:paraId="5CB2F7FC">
            <w:pPr>
              <w:pStyle w:val="2"/>
              <w:bidi w:val="0"/>
              <w:rPr>
                <w:rFonts w:hint="eastAsia"/>
                <w:color w:val="auto"/>
              </w:rPr>
            </w:pPr>
            <w:r>
              <w:rPr>
                <w:rFonts w:hint="eastAsia"/>
                <w:color w:val="auto"/>
              </w:rPr>
              <w:t>月日均业务量＞7.1万件</w:t>
            </w:r>
          </w:p>
        </w:tc>
        <w:tc>
          <w:tcPr>
            <w:tcW w:w="1396" w:type="dxa"/>
            <w:tcBorders>
              <w:top w:val="single" w:color="D1D1D1" w:sz="6" w:space="0"/>
              <w:left w:val="single" w:color="D1D1D1" w:sz="6" w:space="0"/>
              <w:bottom w:val="single" w:color="D1D1D1" w:sz="6" w:space="0"/>
              <w:right w:val="single" w:color="D1D1D1" w:sz="6" w:space="0"/>
            </w:tcBorders>
            <w:shd w:val="clear" w:color="auto" w:fill="FFFFFF"/>
            <w:tcMar>
              <w:left w:w="101" w:type="dxa"/>
              <w:right w:w="101" w:type="dxa"/>
            </w:tcMar>
            <w:vAlign w:val="center"/>
          </w:tcPr>
          <w:p w14:paraId="1821EE12">
            <w:pPr>
              <w:pStyle w:val="2"/>
              <w:bidi w:val="0"/>
              <w:rPr>
                <w:rFonts w:hint="eastAsia"/>
                <w:color w:val="auto"/>
              </w:rPr>
            </w:pPr>
            <w:r>
              <w:rPr>
                <w:rFonts w:hint="eastAsia"/>
                <w:color w:val="auto"/>
              </w:rPr>
              <w:t>0.145</w:t>
            </w:r>
          </w:p>
        </w:tc>
        <w:tc>
          <w:tcPr>
            <w:tcW w:w="756" w:type="dxa"/>
            <w:vMerge w:val="continue"/>
            <w:tcBorders>
              <w:top w:val="single" w:color="D1D1D1" w:sz="6" w:space="0"/>
              <w:left w:val="single" w:color="D1D1D1" w:sz="6" w:space="0"/>
              <w:bottom w:val="single" w:color="D1D1D1" w:sz="6" w:space="0"/>
              <w:right w:val="single" w:color="D1D1D1" w:sz="6" w:space="0"/>
            </w:tcBorders>
            <w:shd w:val="clear" w:color="auto" w:fill="FFFFFF"/>
            <w:tcMar>
              <w:left w:w="101" w:type="dxa"/>
              <w:right w:w="101" w:type="dxa"/>
            </w:tcMar>
            <w:vAlign w:val="center"/>
          </w:tcPr>
          <w:p w14:paraId="04694132">
            <w:pPr>
              <w:pStyle w:val="2"/>
              <w:bidi w:val="0"/>
              <w:rPr>
                <w:rFonts w:hint="eastAsia"/>
                <w:color w:val="auto"/>
              </w:rPr>
            </w:pPr>
          </w:p>
        </w:tc>
        <w:tc>
          <w:tcPr>
            <w:tcW w:w="760" w:type="dxa"/>
            <w:vMerge w:val="continue"/>
            <w:tcBorders>
              <w:top w:val="single" w:color="D1D1D1" w:sz="6" w:space="0"/>
              <w:left w:val="single" w:color="D1D1D1" w:sz="6" w:space="0"/>
              <w:bottom w:val="single" w:color="D1D1D1" w:sz="6" w:space="0"/>
              <w:right w:val="single" w:color="D1D1D1" w:sz="4" w:space="0"/>
            </w:tcBorders>
            <w:shd w:val="clear" w:color="auto" w:fill="FFFFFF"/>
            <w:tcMar>
              <w:left w:w="101" w:type="dxa"/>
              <w:right w:w="101" w:type="dxa"/>
            </w:tcMar>
            <w:vAlign w:val="center"/>
          </w:tcPr>
          <w:p w14:paraId="77F5F636">
            <w:pPr>
              <w:pStyle w:val="2"/>
              <w:bidi w:val="0"/>
              <w:rPr>
                <w:rFonts w:hint="eastAsia"/>
                <w:color w:val="auto"/>
              </w:rPr>
            </w:pPr>
          </w:p>
        </w:tc>
      </w:tr>
      <w:tr w14:paraId="769988E2">
        <w:tblPrEx>
          <w:tblBorders>
            <w:top w:val="single" w:color="D1D1D1" w:sz="4" w:space="0"/>
            <w:left w:val="single" w:color="D1D1D1" w:sz="4" w:space="0"/>
            <w:bottom w:val="single" w:color="D1D1D1" w:sz="4" w:space="0"/>
            <w:right w:val="single" w:color="D1D1D1" w:sz="4" w:space="0"/>
            <w:insideH w:val="none" w:color="auto" w:sz="0" w:space="0"/>
            <w:insideV w:val="none" w:color="auto" w:sz="0" w:space="0"/>
          </w:tblBorders>
          <w:tblCellMar>
            <w:top w:w="0" w:type="dxa"/>
            <w:left w:w="0" w:type="dxa"/>
            <w:bottom w:w="0" w:type="dxa"/>
            <w:right w:w="0" w:type="dxa"/>
          </w:tblCellMar>
        </w:tblPrEx>
        <w:trPr>
          <w:trHeight w:val="363" w:hRule="atLeast"/>
          <w:jc w:val="center"/>
        </w:trPr>
        <w:tc>
          <w:tcPr>
            <w:tcW w:w="1292" w:type="dxa"/>
            <w:vMerge w:val="restart"/>
            <w:tcBorders>
              <w:top w:val="single" w:color="D1D1D1" w:sz="6" w:space="0"/>
              <w:left w:val="single" w:color="D1D1D1" w:sz="4" w:space="0"/>
              <w:bottom w:val="single" w:color="D1D1D1" w:sz="6" w:space="0"/>
              <w:right w:val="single" w:color="D1D1D1" w:sz="6" w:space="0"/>
            </w:tcBorders>
            <w:shd w:val="clear" w:color="auto" w:fill="FFFFFF"/>
            <w:tcMar>
              <w:left w:w="101" w:type="dxa"/>
              <w:right w:w="101" w:type="dxa"/>
            </w:tcMar>
            <w:vAlign w:val="center"/>
          </w:tcPr>
          <w:p w14:paraId="69A508B6">
            <w:pPr>
              <w:pStyle w:val="2"/>
              <w:bidi w:val="0"/>
              <w:rPr>
                <w:rFonts w:hint="eastAsia"/>
                <w:color w:val="auto"/>
              </w:rPr>
            </w:pPr>
            <w:r>
              <w:rPr>
                <w:rFonts w:hint="eastAsia"/>
                <w:color w:val="auto"/>
              </w:rPr>
              <w:t>300-500g（含）</w:t>
            </w:r>
          </w:p>
        </w:tc>
        <w:tc>
          <w:tcPr>
            <w:tcW w:w="1944" w:type="dxa"/>
            <w:tcBorders>
              <w:top w:val="single" w:color="D1D1D1" w:sz="6" w:space="0"/>
              <w:left w:val="single" w:color="D1D1D1" w:sz="6" w:space="0"/>
              <w:bottom w:val="single" w:color="D1D1D1" w:sz="6" w:space="0"/>
              <w:right w:val="single" w:color="D1D1D1" w:sz="6" w:space="0"/>
            </w:tcBorders>
            <w:shd w:val="clear" w:color="auto" w:fill="FFFFFF"/>
            <w:tcMar>
              <w:left w:w="101" w:type="dxa"/>
              <w:right w:w="101" w:type="dxa"/>
            </w:tcMar>
            <w:vAlign w:val="center"/>
          </w:tcPr>
          <w:p w14:paraId="1F81B0E5">
            <w:pPr>
              <w:pStyle w:val="2"/>
              <w:bidi w:val="0"/>
              <w:rPr>
                <w:rFonts w:hint="eastAsia"/>
                <w:color w:val="auto"/>
              </w:rPr>
            </w:pPr>
            <w:r>
              <w:rPr>
                <w:rFonts w:hint="eastAsia"/>
                <w:color w:val="auto"/>
              </w:rPr>
              <w:t>月日均业务量≦3.75万件</w:t>
            </w:r>
          </w:p>
        </w:tc>
        <w:tc>
          <w:tcPr>
            <w:tcW w:w="1396" w:type="dxa"/>
            <w:tcBorders>
              <w:top w:val="single" w:color="D1D1D1" w:sz="6" w:space="0"/>
              <w:left w:val="single" w:color="D1D1D1" w:sz="6" w:space="0"/>
              <w:bottom w:val="single" w:color="D1D1D1" w:sz="6" w:space="0"/>
              <w:right w:val="single" w:color="D1D1D1" w:sz="6" w:space="0"/>
            </w:tcBorders>
            <w:shd w:val="clear" w:color="auto" w:fill="FFFFFF"/>
            <w:tcMar>
              <w:left w:w="101" w:type="dxa"/>
              <w:right w:w="101" w:type="dxa"/>
            </w:tcMar>
            <w:vAlign w:val="center"/>
          </w:tcPr>
          <w:p w14:paraId="5E034AD8">
            <w:pPr>
              <w:pStyle w:val="2"/>
              <w:bidi w:val="0"/>
              <w:rPr>
                <w:rFonts w:hint="eastAsia"/>
                <w:color w:val="auto"/>
              </w:rPr>
            </w:pPr>
            <w:r>
              <w:rPr>
                <w:rFonts w:hint="eastAsia"/>
                <w:color w:val="auto"/>
              </w:rPr>
              <w:t>0.154</w:t>
            </w:r>
          </w:p>
        </w:tc>
        <w:tc>
          <w:tcPr>
            <w:tcW w:w="756" w:type="dxa"/>
            <w:vMerge w:val="continue"/>
            <w:tcBorders>
              <w:top w:val="single" w:color="D1D1D1" w:sz="6" w:space="0"/>
              <w:left w:val="single" w:color="D1D1D1" w:sz="6" w:space="0"/>
              <w:bottom w:val="single" w:color="D1D1D1" w:sz="6" w:space="0"/>
              <w:right w:val="single" w:color="D1D1D1" w:sz="6" w:space="0"/>
            </w:tcBorders>
            <w:shd w:val="clear" w:color="auto" w:fill="FFFFFF"/>
            <w:tcMar>
              <w:left w:w="101" w:type="dxa"/>
              <w:right w:w="101" w:type="dxa"/>
            </w:tcMar>
            <w:vAlign w:val="center"/>
          </w:tcPr>
          <w:p w14:paraId="6294CEF4">
            <w:pPr>
              <w:pStyle w:val="2"/>
              <w:bidi w:val="0"/>
              <w:rPr>
                <w:rFonts w:hint="eastAsia"/>
                <w:color w:val="auto"/>
              </w:rPr>
            </w:pPr>
          </w:p>
        </w:tc>
        <w:tc>
          <w:tcPr>
            <w:tcW w:w="760" w:type="dxa"/>
            <w:vMerge w:val="continue"/>
            <w:tcBorders>
              <w:top w:val="single" w:color="D1D1D1" w:sz="6" w:space="0"/>
              <w:left w:val="single" w:color="D1D1D1" w:sz="6" w:space="0"/>
              <w:bottom w:val="single" w:color="D1D1D1" w:sz="6" w:space="0"/>
              <w:right w:val="single" w:color="D1D1D1" w:sz="4" w:space="0"/>
            </w:tcBorders>
            <w:shd w:val="clear" w:color="auto" w:fill="FFFFFF"/>
            <w:tcMar>
              <w:left w:w="101" w:type="dxa"/>
              <w:right w:w="101" w:type="dxa"/>
            </w:tcMar>
            <w:vAlign w:val="center"/>
          </w:tcPr>
          <w:p w14:paraId="1D7984AD">
            <w:pPr>
              <w:pStyle w:val="2"/>
              <w:bidi w:val="0"/>
              <w:rPr>
                <w:rFonts w:hint="eastAsia"/>
                <w:color w:val="auto"/>
              </w:rPr>
            </w:pPr>
          </w:p>
        </w:tc>
      </w:tr>
      <w:tr w14:paraId="4C2EF4A9">
        <w:tblPrEx>
          <w:tblBorders>
            <w:top w:val="single" w:color="D1D1D1" w:sz="4" w:space="0"/>
            <w:left w:val="single" w:color="D1D1D1" w:sz="4" w:space="0"/>
            <w:bottom w:val="single" w:color="D1D1D1" w:sz="4" w:space="0"/>
            <w:right w:val="single" w:color="D1D1D1" w:sz="4" w:space="0"/>
            <w:insideH w:val="none" w:color="auto" w:sz="0" w:space="0"/>
            <w:insideV w:val="none" w:color="auto" w:sz="0" w:space="0"/>
          </w:tblBorders>
          <w:tblCellMar>
            <w:top w:w="0" w:type="dxa"/>
            <w:left w:w="0" w:type="dxa"/>
            <w:bottom w:w="0" w:type="dxa"/>
            <w:right w:w="0" w:type="dxa"/>
          </w:tblCellMar>
        </w:tblPrEx>
        <w:trPr>
          <w:trHeight w:val="363" w:hRule="atLeast"/>
          <w:jc w:val="center"/>
        </w:trPr>
        <w:tc>
          <w:tcPr>
            <w:tcW w:w="1292" w:type="dxa"/>
            <w:vMerge w:val="continue"/>
            <w:tcBorders>
              <w:top w:val="single" w:color="D1D1D1" w:sz="6" w:space="0"/>
              <w:left w:val="single" w:color="D1D1D1" w:sz="4" w:space="0"/>
              <w:bottom w:val="single" w:color="D1D1D1" w:sz="6" w:space="0"/>
              <w:right w:val="single" w:color="D1D1D1" w:sz="6" w:space="0"/>
            </w:tcBorders>
            <w:shd w:val="clear" w:color="auto" w:fill="FFFFFF"/>
            <w:tcMar>
              <w:left w:w="101" w:type="dxa"/>
              <w:right w:w="101" w:type="dxa"/>
            </w:tcMar>
            <w:vAlign w:val="center"/>
          </w:tcPr>
          <w:p w14:paraId="6E35DF69">
            <w:pPr>
              <w:pStyle w:val="2"/>
              <w:bidi w:val="0"/>
              <w:rPr>
                <w:rFonts w:hint="eastAsia"/>
                <w:color w:val="auto"/>
              </w:rPr>
            </w:pPr>
          </w:p>
        </w:tc>
        <w:tc>
          <w:tcPr>
            <w:tcW w:w="1944" w:type="dxa"/>
            <w:tcBorders>
              <w:top w:val="single" w:color="D1D1D1" w:sz="6" w:space="0"/>
              <w:left w:val="single" w:color="D1D1D1" w:sz="6" w:space="0"/>
              <w:bottom w:val="single" w:color="D1D1D1" w:sz="6" w:space="0"/>
              <w:right w:val="single" w:color="D1D1D1" w:sz="6" w:space="0"/>
            </w:tcBorders>
            <w:shd w:val="clear" w:color="auto" w:fill="FFFFFF"/>
            <w:tcMar>
              <w:left w:w="101" w:type="dxa"/>
              <w:right w:w="101" w:type="dxa"/>
            </w:tcMar>
            <w:vAlign w:val="center"/>
          </w:tcPr>
          <w:p w14:paraId="6DE6DBD8">
            <w:pPr>
              <w:pStyle w:val="2"/>
              <w:bidi w:val="0"/>
              <w:rPr>
                <w:rFonts w:hint="eastAsia"/>
                <w:color w:val="auto"/>
              </w:rPr>
            </w:pPr>
            <w:r>
              <w:rPr>
                <w:rFonts w:hint="eastAsia"/>
                <w:color w:val="auto"/>
              </w:rPr>
              <w:t>月日均业务量＞3.75万件</w:t>
            </w:r>
          </w:p>
        </w:tc>
        <w:tc>
          <w:tcPr>
            <w:tcW w:w="1396" w:type="dxa"/>
            <w:tcBorders>
              <w:top w:val="single" w:color="D1D1D1" w:sz="6" w:space="0"/>
              <w:left w:val="single" w:color="D1D1D1" w:sz="6" w:space="0"/>
              <w:bottom w:val="single" w:color="D1D1D1" w:sz="6" w:space="0"/>
              <w:right w:val="single" w:color="D1D1D1" w:sz="6" w:space="0"/>
            </w:tcBorders>
            <w:shd w:val="clear" w:color="auto" w:fill="FFFFFF"/>
            <w:tcMar>
              <w:left w:w="101" w:type="dxa"/>
              <w:right w:w="101" w:type="dxa"/>
            </w:tcMar>
            <w:vAlign w:val="center"/>
          </w:tcPr>
          <w:p w14:paraId="34CBFE92">
            <w:pPr>
              <w:pStyle w:val="2"/>
              <w:bidi w:val="0"/>
              <w:rPr>
                <w:rFonts w:hint="eastAsia"/>
                <w:color w:val="auto"/>
              </w:rPr>
            </w:pPr>
            <w:r>
              <w:rPr>
                <w:rFonts w:hint="eastAsia"/>
                <w:color w:val="auto"/>
              </w:rPr>
              <w:t>0.150</w:t>
            </w:r>
          </w:p>
        </w:tc>
        <w:tc>
          <w:tcPr>
            <w:tcW w:w="756" w:type="dxa"/>
            <w:vMerge w:val="continue"/>
            <w:tcBorders>
              <w:top w:val="single" w:color="D1D1D1" w:sz="6" w:space="0"/>
              <w:left w:val="single" w:color="D1D1D1" w:sz="6" w:space="0"/>
              <w:bottom w:val="single" w:color="D1D1D1" w:sz="6" w:space="0"/>
              <w:right w:val="single" w:color="D1D1D1" w:sz="6" w:space="0"/>
            </w:tcBorders>
            <w:shd w:val="clear" w:color="auto" w:fill="FFFFFF"/>
            <w:tcMar>
              <w:left w:w="101" w:type="dxa"/>
              <w:right w:w="101" w:type="dxa"/>
            </w:tcMar>
            <w:vAlign w:val="center"/>
          </w:tcPr>
          <w:p w14:paraId="083B4EEF">
            <w:pPr>
              <w:pStyle w:val="2"/>
              <w:bidi w:val="0"/>
              <w:rPr>
                <w:rFonts w:hint="eastAsia"/>
                <w:color w:val="auto"/>
              </w:rPr>
            </w:pPr>
          </w:p>
        </w:tc>
        <w:tc>
          <w:tcPr>
            <w:tcW w:w="760" w:type="dxa"/>
            <w:vMerge w:val="continue"/>
            <w:tcBorders>
              <w:top w:val="single" w:color="D1D1D1" w:sz="6" w:space="0"/>
              <w:left w:val="single" w:color="D1D1D1" w:sz="6" w:space="0"/>
              <w:bottom w:val="single" w:color="D1D1D1" w:sz="6" w:space="0"/>
              <w:right w:val="single" w:color="D1D1D1" w:sz="4" w:space="0"/>
            </w:tcBorders>
            <w:shd w:val="clear" w:color="auto" w:fill="FFFFFF"/>
            <w:tcMar>
              <w:left w:w="101" w:type="dxa"/>
              <w:right w:w="101" w:type="dxa"/>
            </w:tcMar>
            <w:vAlign w:val="center"/>
          </w:tcPr>
          <w:p w14:paraId="6A05BE93">
            <w:pPr>
              <w:pStyle w:val="2"/>
              <w:bidi w:val="0"/>
              <w:rPr>
                <w:rFonts w:hint="eastAsia"/>
                <w:color w:val="auto"/>
              </w:rPr>
            </w:pPr>
          </w:p>
        </w:tc>
      </w:tr>
      <w:tr w14:paraId="08D60DDA">
        <w:tblPrEx>
          <w:tblBorders>
            <w:top w:val="single" w:color="D1D1D1" w:sz="4" w:space="0"/>
            <w:left w:val="single" w:color="D1D1D1" w:sz="4" w:space="0"/>
            <w:bottom w:val="single" w:color="D1D1D1" w:sz="4" w:space="0"/>
            <w:right w:val="single" w:color="D1D1D1" w:sz="4" w:space="0"/>
            <w:insideH w:val="none" w:color="auto" w:sz="0" w:space="0"/>
            <w:insideV w:val="none" w:color="auto" w:sz="0" w:space="0"/>
          </w:tblBorders>
          <w:tblCellMar>
            <w:top w:w="0" w:type="dxa"/>
            <w:left w:w="0" w:type="dxa"/>
            <w:bottom w:w="0" w:type="dxa"/>
            <w:right w:w="0" w:type="dxa"/>
          </w:tblCellMar>
        </w:tblPrEx>
        <w:trPr>
          <w:trHeight w:val="363" w:hRule="atLeast"/>
          <w:jc w:val="center"/>
        </w:trPr>
        <w:tc>
          <w:tcPr>
            <w:tcW w:w="1292" w:type="dxa"/>
            <w:vMerge w:val="restart"/>
            <w:tcBorders>
              <w:top w:val="single" w:color="D1D1D1" w:sz="6" w:space="0"/>
              <w:left w:val="single" w:color="D1D1D1" w:sz="4" w:space="0"/>
              <w:bottom w:val="single" w:color="D1D1D1" w:sz="6" w:space="0"/>
              <w:right w:val="single" w:color="D1D1D1" w:sz="6" w:space="0"/>
            </w:tcBorders>
            <w:shd w:val="clear" w:color="auto" w:fill="FFFFFF"/>
            <w:tcMar>
              <w:left w:w="101" w:type="dxa"/>
              <w:right w:w="101" w:type="dxa"/>
            </w:tcMar>
            <w:vAlign w:val="center"/>
          </w:tcPr>
          <w:p w14:paraId="534A14F6">
            <w:pPr>
              <w:pStyle w:val="2"/>
              <w:bidi w:val="0"/>
              <w:rPr>
                <w:rFonts w:hint="eastAsia"/>
                <w:color w:val="auto"/>
              </w:rPr>
            </w:pPr>
            <w:r>
              <w:rPr>
                <w:rFonts w:hint="eastAsia"/>
                <w:color w:val="auto"/>
              </w:rPr>
              <w:t>500g以上</w:t>
            </w:r>
          </w:p>
        </w:tc>
        <w:tc>
          <w:tcPr>
            <w:tcW w:w="1944" w:type="dxa"/>
            <w:tcBorders>
              <w:top w:val="single" w:color="D1D1D1" w:sz="6" w:space="0"/>
              <w:left w:val="single" w:color="D1D1D1" w:sz="6" w:space="0"/>
              <w:bottom w:val="single" w:color="D1D1D1" w:sz="6" w:space="0"/>
              <w:right w:val="single" w:color="D1D1D1" w:sz="6" w:space="0"/>
            </w:tcBorders>
            <w:shd w:val="clear" w:color="auto" w:fill="FFFFFF"/>
            <w:tcMar>
              <w:left w:w="101" w:type="dxa"/>
              <w:right w:w="101" w:type="dxa"/>
            </w:tcMar>
            <w:vAlign w:val="center"/>
          </w:tcPr>
          <w:p w14:paraId="25A09A18">
            <w:pPr>
              <w:pStyle w:val="2"/>
              <w:bidi w:val="0"/>
              <w:rPr>
                <w:rFonts w:hint="eastAsia"/>
                <w:color w:val="auto"/>
              </w:rPr>
            </w:pPr>
            <w:r>
              <w:rPr>
                <w:rFonts w:hint="eastAsia"/>
                <w:color w:val="auto"/>
              </w:rPr>
              <w:t>月日均业务量≦2.6万件</w:t>
            </w:r>
          </w:p>
        </w:tc>
        <w:tc>
          <w:tcPr>
            <w:tcW w:w="1396" w:type="dxa"/>
            <w:tcBorders>
              <w:top w:val="single" w:color="D1D1D1" w:sz="6" w:space="0"/>
              <w:left w:val="single" w:color="D1D1D1" w:sz="6" w:space="0"/>
              <w:bottom w:val="single" w:color="D1D1D1" w:sz="6" w:space="0"/>
              <w:right w:val="single" w:color="D1D1D1" w:sz="6" w:space="0"/>
            </w:tcBorders>
            <w:shd w:val="clear" w:color="auto" w:fill="FFFFFF"/>
            <w:tcMar>
              <w:left w:w="101" w:type="dxa"/>
              <w:right w:w="101" w:type="dxa"/>
            </w:tcMar>
            <w:vAlign w:val="center"/>
          </w:tcPr>
          <w:p w14:paraId="3CEC5E08">
            <w:pPr>
              <w:pStyle w:val="2"/>
              <w:bidi w:val="0"/>
              <w:rPr>
                <w:rFonts w:hint="eastAsia"/>
                <w:color w:val="auto"/>
              </w:rPr>
            </w:pPr>
            <w:r>
              <w:rPr>
                <w:rFonts w:hint="eastAsia"/>
                <w:color w:val="auto"/>
              </w:rPr>
              <w:t>0.177</w:t>
            </w:r>
          </w:p>
        </w:tc>
        <w:tc>
          <w:tcPr>
            <w:tcW w:w="756" w:type="dxa"/>
            <w:vMerge w:val="continue"/>
            <w:tcBorders>
              <w:top w:val="single" w:color="D1D1D1" w:sz="6" w:space="0"/>
              <w:left w:val="single" w:color="D1D1D1" w:sz="6" w:space="0"/>
              <w:bottom w:val="single" w:color="D1D1D1" w:sz="6" w:space="0"/>
              <w:right w:val="single" w:color="D1D1D1" w:sz="6" w:space="0"/>
            </w:tcBorders>
            <w:shd w:val="clear" w:color="auto" w:fill="FFFFFF"/>
            <w:tcMar>
              <w:left w:w="101" w:type="dxa"/>
              <w:right w:w="101" w:type="dxa"/>
            </w:tcMar>
            <w:vAlign w:val="center"/>
          </w:tcPr>
          <w:p w14:paraId="107C5789">
            <w:pPr>
              <w:pStyle w:val="2"/>
              <w:bidi w:val="0"/>
              <w:rPr>
                <w:rFonts w:hint="eastAsia"/>
                <w:color w:val="auto"/>
              </w:rPr>
            </w:pPr>
          </w:p>
        </w:tc>
        <w:tc>
          <w:tcPr>
            <w:tcW w:w="760" w:type="dxa"/>
            <w:vMerge w:val="continue"/>
            <w:tcBorders>
              <w:top w:val="single" w:color="D1D1D1" w:sz="6" w:space="0"/>
              <w:left w:val="single" w:color="D1D1D1" w:sz="6" w:space="0"/>
              <w:bottom w:val="single" w:color="D1D1D1" w:sz="6" w:space="0"/>
              <w:right w:val="single" w:color="D1D1D1" w:sz="4" w:space="0"/>
            </w:tcBorders>
            <w:shd w:val="clear" w:color="auto" w:fill="FFFFFF"/>
            <w:tcMar>
              <w:left w:w="101" w:type="dxa"/>
              <w:right w:w="101" w:type="dxa"/>
            </w:tcMar>
            <w:vAlign w:val="center"/>
          </w:tcPr>
          <w:p w14:paraId="1DCB5112">
            <w:pPr>
              <w:pStyle w:val="2"/>
              <w:bidi w:val="0"/>
              <w:rPr>
                <w:rFonts w:hint="eastAsia"/>
                <w:color w:val="auto"/>
              </w:rPr>
            </w:pPr>
          </w:p>
        </w:tc>
      </w:tr>
      <w:tr w14:paraId="4120BD77">
        <w:tblPrEx>
          <w:tblBorders>
            <w:top w:val="single" w:color="D1D1D1" w:sz="4" w:space="0"/>
            <w:left w:val="single" w:color="D1D1D1" w:sz="4" w:space="0"/>
            <w:bottom w:val="single" w:color="D1D1D1" w:sz="4" w:space="0"/>
            <w:right w:val="single" w:color="D1D1D1" w:sz="4" w:space="0"/>
            <w:insideH w:val="none" w:color="auto" w:sz="0" w:space="0"/>
            <w:insideV w:val="none" w:color="auto" w:sz="0" w:space="0"/>
          </w:tblBorders>
        </w:tblPrEx>
        <w:trPr>
          <w:trHeight w:val="363" w:hRule="atLeast"/>
          <w:jc w:val="center"/>
        </w:trPr>
        <w:tc>
          <w:tcPr>
            <w:tcW w:w="1292" w:type="dxa"/>
            <w:vMerge w:val="continue"/>
            <w:tcBorders>
              <w:top w:val="single" w:color="D1D1D1" w:sz="6" w:space="0"/>
              <w:left w:val="single" w:color="D1D1D1" w:sz="4" w:space="0"/>
              <w:bottom w:val="single" w:color="D1D1D1" w:sz="6" w:space="0"/>
              <w:right w:val="single" w:color="D1D1D1" w:sz="6" w:space="0"/>
            </w:tcBorders>
            <w:shd w:val="clear" w:color="auto" w:fill="FFFFFF"/>
            <w:tcMar>
              <w:left w:w="101" w:type="dxa"/>
              <w:right w:w="101" w:type="dxa"/>
            </w:tcMar>
            <w:vAlign w:val="center"/>
          </w:tcPr>
          <w:p w14:paraId="4C8F7A65">
            <w:pPr>
              <w:pStyle w:val="2"/>
              <w:bidi w:val="0"/>
              <w:rPr>
                <w:rFonts w:hint="eastAsia"/>
                <w:color w:val="auto"/>
              </w:rPr>
            </w:pPr>
          </w:p>
        </w:tc>
        <w:tc>
          <w:tcPr>
            <w:tcW w:w="1944" w:type="dxa"/>
            <w:tcBorders>
              <w:top w:val="single" w:color="D1D1D1" w:sz="6" w:space="0"/>
              <w:left w:val="single" w:color="D1D1D1" w:sz="6" w:space="0"/>
              <w:bottom w:val="single" w:color="D1D1D1" w:sz="4" w:space="0"/>
              <w:right w:val="single" w:color="D1D1D1" w:sz="6" w:space="0"/>
            </w:tcBorders>
            <w:shd w:val="clear" w:color="auto" w:fill="FFFFFF"/>
            <w:tcMar>
              <w:left w:w="101" w:type="dxa"/>
              <w:right w:w="101" w:type="dxa"/>
            </w:tcMar>
            <w:vAlign w:val="center"/>
          </w:tcPr>
          <w:p w14:paraId="621C0D2B">
            <w:pPr>
              <w:pStyle w:val="2"/>
              <w:bidi w:val="0"/>
              <w:rPr>
                <w:rFonts w:hint="eastAsia"/>
                <w:color w:val="auto"/>
              </w:rPr>
            </w:pPr>
            <w:r>
              <w:rPr>
                <w:rFonts w:hint="eastAsia"/>
                <w:color w:val="auto"/>
              </w:rPr>
              <w:t>月日均业务量＞2.6万件</w:t>
            </w:r>
          </w:p>
        </w:tc>
        <w:tc>
          <w:tcPr>
            <w:tcW w:w="1396" w:type="dxa"/>
            <w:tcBorders>
              <w:top w:val="single" w:color="D1D1D1" w:sz="6" w:space="0"/>
              <w:left w:val="single" w:color="D1D1D1" w:sz="6" w:space="0"/>
              <w:bottom w:val="single" w:color="D1D1D1" w:sz="4" w:space="0"/>
              <w:right w:val="single" w:color="D1D1D1" w:sz="6" w:space="0"/>
            </w:tcBorders>
            <w:shd w:val="clear" w:color="auto" w:fill="FFFFFF"/>
            <w:tcMar>
              <w:left w:w="101" w:type="dxa"/>
              <w:right w:w="101" w:type="dxa"/>
            </w:tcMar>
            <w:vAlign w:val="center"/>
          </w:tcPr>
          <w:p w14:paraId="13A0BA34">
            <w:pPr>
              <w:pStyle w:val="2"/>
              <w:bidi w:val="0"/>
              <w:rPr>
                <w:rFonts w:hint="eastAsia"/>
                <w:color w:val="auto"/>
              </w:rPr>
            </w:pPr>
            <w:r>
              <w:rPr>
                <w:rFonts w:hint="eastAsia"/>
                <w:color w:val="auto"/>
              </w:rPr>
              <w:t>0.172</w:t>
            </w:r>
          </w:p>
        </w:tc>
        <w:tc>
          <w:tcPr>
            <w:tcW w:w="756" w:type="dxa"/>
            <w:vMerge w:val="continue"/>
            <w:tcBorders>
              <w:top w:val="single" w:color="D1D1D1" w:sz="6" w:space="0"/>
              <w:left w:val="single" w:color="D1D1D1" w:sz="6" w:space="0"/>
              <w:bottom w:val="single" w:color="D1D1D1" w:sz="6" w:space="0"/>
              <w:right w:val="single" w:color="D1D1D1" w:sz="6" w:space="0"/>
            </w:tcBorders>
            <w:shd w:val="clear" w:color="auto" w:fill="FFFFFF"/>
            <w:tcMar>
              <w:left w:w="101" w:type="dxa"/>
              <w:right w:w="101" w:type="dxa"/>
            </w:tcMar>
            <w:vAlign w:val="center"/>
          </w:tcPr>
          <w:p w14:paraId="58B50D1D">
            <w:pPr>
              <w:pStyle w:val="2"/>
              <w:bidi w:val="0"/>
              <w:rPr>
                <w:rFonts w:hint="eastAsia"/>
                <w:color w:val="auto"/>
              </w:rPr>
            </w:pPr>
          </w:p>
        </w:tc>
        <w:tc>
          <w:tcPr>
            <w:tcW w:w="760" w:type="dxa"/>
            <w:vMerge w:val="continue"/>
            <w:tcBorders>
              <w:top w:val="single" w:color="D1D1D1" w:sz="6" w:space="0"/>
              <w:left w:val="single" w:color="D1D1D1" w:sz="6" w:space="0"/>
              <w:bottom w:val="single" w:color="D1D1D1" w:sz="6" w:space="0"/>
              <w:right w:val="single" w:color="D1D1D1" w:sz="4" w:space="0"/>
            </w:tcBorders>
            <w:shd w:val="clear" w:color="auto" w:fill="FFFFFF"/>
            <w:tcMar>
              <w:left w:w="101" w:type="dxa"/>
              <w:right w:w="101" w:type="dxa"/>
            </w:tcMar>
            <w:vAlign w:val="center"/>
          </w:tcPr>
          <w:p w14:paraId="4B14BF58">
            <w:pPr>
              <w:pStyle w:val="2"/>
              <w:bidi w:val="0"/>
              <w:rPr>
                <w:rFonts w:hint="eastAsia"/>
                <w:color w:val="auto"/>
              </w:rPr>
            </w:pPr>
          </w:p>
        </w:tc>
      </w:tr>
    </w:tbl>
    <w:p w14:paraId="48714170">
      <w:pPr>
        <w:pStyle w:val="2"/>
        <w:bidi w:val="0"/>
        <w:rPr>
          <w:rFonts w:hint="eastAsia"/>
          <w:color w:val="auto"/>
        </w:rPr>
      </w:pPr>
      <w:r>
        <w:rPr>
          <w:rFonts w:hint="eastAsia"/>
          <w:color w:val="auto"/>
        </w:rPr>
        <w:t>（3）本项目不设置分包。</w:t>
      </w:r>
    </w:p>
    <w:p w14:paraId="4A8863A9">
      <w:pPr>
        <w:pStyle w:val="2"/>
        <w:bidi w:val="0"/>
        <w:rPr>
          <w:rFonts w:hint="eastAsia"/>
          <w:color w:val="auto"/>
        </w:rPr>
      </w:pPr>
      <w:r>
        <w:rPr>
          <w:rFonts w:hint="eastAsia"/>
          <w:color w:val="auto"/>
        </w:rPr>
        <w:t>（4）成交原则：本项目按照综合评分从高到低排名，由综合评分从高到低排名第一的供应商成交，排名第二的供应商备选。</w:t>
      </w:r>
    </w:p>
    <w:p w14:paraId="717B5A25">
      <w:pPr>
        <w:pStyle w:val="2"/>
        <w:bidi w:val="0"/>
        <w:rPr>
          <w:rFonts w:hint="eastAsia"/>
          <w:color w:val="auto"/>
        </w:rPr>
      </w:pPr>
      <w:r>
        <w:rPr>
          <w:rFonts w:hint="eastAsia"/>
          <w:color w:val="auto"/>
        </w:rPr>
        <w:t>（6）资格审查采用资格后审方式。</w:t>
      </w:r>
    </w:p>
    <w:p w14:paraId="5A84F298">
      <w:pPr>
        <w:pStyle w:val="2"/>
        <w:bidi w:val="0"/>
        <w:rPr>
          <w:rFonts w:hint="eastAsia"/>
          <w:color w:val="auto"/>
        </w:rPr>
      </w:pPr>
      <w:r>
        <w:rPr>
          <w:rFonts w:hint="eastAsia"/>
          <w:color w:val="auto"/>
        </w:rPr>
        <w:t>（7）本项目后期将根据采购人的实际需要，对供应商在履约期间的情况开展后</w:t>
      </w:r>
      <w:r>
        <w:rPr>
          <w:rFonts w:hint="eastAsia"/>
          <w:color w:val="auto"/>
        </w:rPr>
        <w:fldChar w:fldCharType="begin"/>
      </w:r>
      <w:r>
        <w:rPr>
          <w:rFonts w:hint="eastAsia"/>
          <w:color w:val="auto"/>
        </w:rPr>
        <w:instrText xml:space="preserve"> HYPERLINK "javascript:setPayZixun()" </w:instrText>
      </w:r>
      <w:r>
        <w:rPr>
          <w:rFonts w:hint="eastAsia"/>
          <w:color w:val="auto"/>
        </w:rPr>
        <w:fldChar w:fldCharType="separate"/>
      </w:r>
      <w:r>
        <w:rPr>
          <w:rStyle w:val="5"/>
          <w:rFonts w:hint="eastAsia" w:ascii="宋体" w:hAnsi="宋体" w:eastAsia="宋体" w:cs="宋体"/>
          <w:i w:val="0"/>
          <w:iCs w:val="0"/>
          <w:caps w:val="0"/>
          <w:color w:val="auto"/>
          <w:spacing w:val="0"/>
          <w:szCs w:val="24"/>
          <w:u w:val="none"/>
          <w:bdr w:val="none" w:color="auto" w:sz="0" w:space="0"/>
          <w:shd w:val="clear" w:fill="FAFAFA"/>
        </w:rPr>
        <w:t>评估</w:t>
      </w:r>
      <w:r>
        <w:rPr>
          <w:rFonts w:hint="eastAsia"/>
          <w:color w:val="auto"/>
        </w:rPr>
        <w:fldChar w:fldCharType="end"/>
      </w:r>
      <w:r>
        <w:rPr>
          <w:rFonts w:hint="eastAsia"/>
          <w:color w:val="auto"/>
        </w:rPr>
        <w:t>，其后评估的结果将根据“中国邮政集团有限公司采购供应商管理办法”的分级标准对供应商进行分级，采购人根据分级结果对供应商采取相应的管理措施，并可根据实际需要应用于下一轮的采购项目。</w:t>
      </w:r>
    </w:p>
    <w:p w14:paraId="328C2B6F">
      <w:pPr>
        <w:pStyle w:val="2"/>
        <w:bidi w:val="0"/>
        <w:rPr>
          <w:rFonts w:hint="eastAsia"/>
          <w:color w:val="auto"/>
        </w:rPr>
      </w:pPr>
      <w:r>
        <w:rPr>
          <w:rFonts w:hint="eastAsia"/>
          <w:color w:val="auto"/>
        </w:rPr>
        <w:t>供应商根据后评估分为A、B、C、D 四个级别。</w:t>
      </w:r>
    </w:p>
    <w:p w14:paraId="5F009C9E">
      <w:pPr>
        <w:pStyle w:val="2"/>
        <w:bidi w:val="0"/>
        <w:rPr>
          <w:rFonts w:hint="eastAsia"/>
          <w:color w:val="auto"/>
        </w:rPr>
      </w:pPr>
      <w:r>
        <w:rPr>
          <w:rFonts w:hint="eastAsia"/>
          <w:color w:val="auto"/>
        </w:rPr>
        <w:fldChar w:fldCharType="begin"/>
      </w:r>
      <w:r>
        <w:rPr>
          <w:rFonts w:hint="eastAsia"/>
          <w:color w:val="auto"/>
        </w:rPr>
        <w:instrText xml:space="preserve"> HYPERLINK "javascript:setPayZixun()" </w:instrText>
      </w:r>
      <w:r>
        <w:rPr>
          <w:rFonts w:hint="eastAsia"/>
          <w:color w:val="auto"/>
        </w:rPr>
        <w:fldChar w:fldCharType="separate"/>
      </w:r>
      <w:r>
        <w:rPr>
          <w:rStyle w:val="5"/>
          <w:rFonts w:hint="eastAsia" w:ascii="宋体" w:hAnsi="宋体" w:eastAsia="宋体" w:cs="宋体"/>
          <w:i w:val="0"/>
          <w:iCs w:val="0"/>
          <w:caps w:val="0"/>
          <w:color w:val="auto"/>
          <w:spacing w:val="0"/>
          <w:szCs w:val="24"/>
          <w:u w:val="none"/>
          <w:bdr w:val="none" w:color="auto" w:sz="0" w:space="0"/>
          <w:shd w:val="clear" w:fill="FAFAFA"/>
        </w:rPr>
        <w:t>A级</w:t>
      </w:r>
      <w:r>
        <w:rPr>
          <w:rFonts w:hint="eastAsia"/>
          <w:color w:val="auto"/>
        </w:rPr>
        <w:fldChar w:fldCharType="end"/>
      </w:r>
      <w:r>
        <w:rPr>
          <w:rFonts w:hint="eastAsia"/>
          <w:color w:val="auto"/>
        </w:rPr>
        <w:t>供应商：为在合作中表现较为突出的供应商，可作为此类产品合作的标杆企业。</w:t>
      </w:r>
    </w:p>
    <w:p w14:paraId="002D7921">
      <w:pPr>
        <w:pStyle w:val="2"/>
        <w:bidi w:val="0"/>
        <w:rPr>
          <w:rFonts w:hint="eastAsia"/>
          <w:color w:val="auto"/>
        </w:rPr>
      </w:pPr>
      <w:r>
        <w:rPr>
          <w:rFonts w:hint="eastAsia"/>
          <w:color w:val="auto"/>
        </w:rPr>
        <w:t>B级供应商：为在合作中总体状况良好的供应商，不存在影响整体销售、服务的明显问题。</w:t>
      </w:r>
    </w:p>
    <w:p w14:paraId="63382632">
      <w:pPr>
        <w:pStyle w:val="2"/>
        <w:bidi w:val="0"/>
        <w:rPr>
          <w:rFonts w:hint="eastAsia"/>
          <w:color w:val="auto"/>
        </w:rPr>
      </w:pPr>
      <w:r>
        <w:rPr>
          <w:rFonts w:hint="eastAsia"/>
          <w:color w:val="auto"/>
        </w:rPr>
        <w:t>C级供应商：为在合作中表现一般的供应商，存在部分问题。</w:t>
      </w:r>
    </w:p>
    <w:p w14:paraId="20275EE5">
      <w:pPr>
        <w:pStyle w:val="2"/>
        <w:bidi w:val="0"/>
        <w:rPr>
          <w:rFonts w:hint="eastAsia"/>
          <w:color w:val="auto"/>
        </w:rPr>
      </w:pPr>
      <w:r>
        <w:rPr>
          <w:rFonts w:hint="eastAsia"/>
          <w:color w:val="auto"/>
        </w:rPr>
        <w:t>D级供应商：为表现较差的供应商。</w:t>
      </w:r>
    </w:p>
    <w:p w14:paraId="296AA827">
      <w:pPr>
        <w:pStyle w:val="2"/>
        <w:bidi w:val="0"/>
        <w:rPr>
          <w:rFonts w:hint="eastAsia"/>
          <w:color w:val="auto"/>
        </w:rPr>
      </w:pPr>
      <w:r>
        <w:rPr>
          <w:rFonts w:hint="eastAsia"/>
          <w:color w:val="auto"/>
        </w:rPr>
        <w:t>四、供应商资格条件:</w:t>
      </w:r>
    </w:p>
    <w:p w14:paraId="6047FBAA">
      <w:pPr>
        <w:pStyle w:val="2"/>
        <w:bidi w:val="0"/>
        <w:rPr>
          <w:rFonts w:hint="eastAsia"/>
          <w:color w:val="auto"/>
        </w:rPr>
      </w:pPr>
      <w:r>
        <w:rPr>
          <w:rFonts w:hint="eastAsia"/>
          <w:color w:val="auto"/>
        </w:rPr>
        <w:t>（1）供应商须遵守《中华人民共和国招标投标法》及其它相关的国家法律、行政法规的规定，具有良好的</w:t>
      </w:r>
      <w:r>
        <w:rPr>
          <w:rFonts w:hint="eastAsia"/>
          <w:color w:val="auto"/>
        </w:rPr>
        <w:fldChar w:fldCharType="begin"/>
      </w:r>
      <w:r>
        <w:rPr>
          <w:rFonts w:hint="eastAsia"/>
          <w:color w:val="auto"/>
        </w:rPr>
        <w:instrText xml:space="preserve"> HYPERLINK "javascript:setPayZixun()" </w:instrText>
      </w:r>
      <w:r>
        <w:rPr>
          <w:rFonts w:hint="eastAsia"/>
          <w:color w:val="auto"/>
        </w:rPr>
        <w:fldChar w:fldCharType="separate"/>
      </w:r>
      <w:r>
        <w:rPr>
          <w:rStyle w:val="5"/>
          <w:rFonts w:hint="eastAsia" w:ascii="宋体" w:hAnsi="宋体" w:eastAsia="宋体" w:cs="宋体"/>
          <w:i w:val="0"/>
          <w:iCs w:val="0"/>
          <w:caps w:val="0"/>
          <w:color w:val="auto"/>
          <w:spacing w:val="0"/>
          <w:szCs w:val="24"/>
          <w:u w:val="none"/>
          <w:bdr w:val="none" w:color="auto" w:sz="0" w:space="0"/>
          <w:shd w:val="clear" w:fill="FAFAFA"/>
        </w:rPr>
        <w:t>信誉</w:t>
      </w:r>
      <w:r>
        <w:rPr>
          <w:rFonts w:hint="eastAsia"/>
          <w:color w:val="auto"/>
        </w:rPr>
        <w:fldChar w:fldCharType="end"/>
      </w:r>
      <w:r>
        <w:rPr>
          <w:rFonts w:hint="eastAsia"/>
          <w:color w:val="auto"/>
        </w:rPr>
        <w:t>和诚实的商业道德，具有独立承担民事责任的能力。提供法人或其他组织的营业执照等证明文件，复印件加盖公章；</w:t>
      </w:r>
    </w:p>
    <w:p w14:paraId="651B9A40">
      <w:pPr>
        <w:pStyle w:val="2"/>
        <w:bidi w:val="0"/>
        <w:rPr>
          <w:rFonts w:hint="eastAsia"/>
          <w:color w:val="auto"/>
        </w:rPr>
      </w:pPr>
      <w:r>
        <w:rPr>
          <w:rFonts w:hint="eastAsia"/>
          <w:color w:val="auto"/>
        </w:rPr>
        <w:t>（2）供应商在中标地区须设有服务场所或承诺在本项目服务合同生效前在中标地区设立服务场所；</w:t>
      </w:r>
    </w:p>
    <w:p w14:paraId="18928FD6">
      <w:pPr>
        <w:pStyle w:val="2"/>
        <w:bidi w:val="0"/>
        <w:rPr>
          <w:rFonts w:hint="eastAsia"/>
          <w:color w:val="auto"/>
        </w:rPr>
      </w:pPr>
      <w:r>
        <w:rPr>
          <w:rFonts w:hint="eastAsia"/>
          <w:color w:val="auto"/>
        </w:rPr>
        <w:t>（3）供应商具备为本项目提供服务的能力，能够满足本项目</w:t>
      </w:r>
      <w:r>
        <w:rPr>
          <w:rFonts w:hint="eastAsia"/>
          <w:color w:val="auto"/>
        </w:rPr>
        <w:fldChar w:fldCharType="begin"/>
      </w:r>
      <w:r>
        <w:rPr>
          <w:rFonts w:hint="eastAsia"/>
          <w:color w:val="auto"/>
        </w:rPr>
        <w:instrText xml:space="preserve"> HYPERLINK "javascript:setPayZixun()" \o "标书制作" </w:instrText>
      </w:r>
      <w:r>
        <w:rPr>
          <w:rFonts w:hint="eastAsia"/>
          <w:color w:val="auto"/>
        </w:rPr>
        <w:fldChar w:fldCharType="separate"/>
      </w:r>
      <w:r>
        <w:rPr>
          <w:rStyle w:val="5"/>
          <w:rFonts w:hint="eastAsia" w:ascii="宋体" w:hAnsi="宋体" w:eastAsia="宋体" w:cs="宋体"/>
          <w:i w:val="0"/>
          <w:iCs w:val="0"/>
          <w:caps w:val="0"/>
          <w:color w:val="auto"/>
          <w:spacing w:val="0"/>
          <w:szCs w:val="24"/>
          <w:u w:val="none"/>
          <w:bdr w:val="none" w:color="auto" w:sz="0" w:space="0"/>
          <w:shd w:val="clear" w:fill="FAFAFA"/>
        </w:rPr>
        <w:t>招标文件</w:t>
      </w:r>
      <w:r>
        <w:rPr>
          <w:rFonts w:hint="eastAsia"/>
          <w:color w:val="auto"/>
        </w:rPr>
        <w:fldChar w:fldCharType="end"/>
      </w:r>
      <w:r>
        <w:rPr>
          <w:rFonts w:hint="eastAsia"/>
          <w:color w:val="auto"/>
        </w:rPr>
        <w:t>中提出的相关重要技术要求和服务标准；（提供承诺书）；</w:t>
      </w:r>
    </w:p>
    <w:p w14:paraId="3187B4AD">
      <w:pPr>
        <w:pStyle w:val="2"/>
        <w:bidi w:val="0"/>
        <w:rPr>
          <w:rFonts w:hint="eastAsia"/>
          <w:color w:val="auto"/>
        </w:rPr>
      </w:pPr>
      <w:r>
        <w:rPr>
          <w:rFonts w:hint="eastAsia"/>
          <w:color w:val="auto"/>
        </w:rPr>
        <w:t>（4）供应商须具备有效期内的道路运输经营许可证；</w:t>
      </w:r>
    </w:p>
    <w:p w14:paraId="700A53AD">
      <w:pPr>
        <w:pStyle w:val="2"/>
        <w:bidi w:val="0"/>
        <w:rPr>
          <w:rFonts w:hint="eastAsia"/>
          <w:color w:val="auto"/>
        </w:rPr>
      </w:pPr>
      <w:r>
        <w:rPr>
          <w:rFonts w:hint="eastAsia"/>
          <w:color w:val="auto"/>
        </w:rPr>
        <w:t>（5）供应商须为一般纳税人，能够自行开具6%增值税专用发票并提供相关证明材料；；</w:t>
      </w:r>
    </w:p>
    <w:p w14:paraId="384EFA6B">
      <w:pPr>
        <w:pStyle w:val="2"/>
        <w:bidi w:val="0"/>
        <w:rPr>
          <w:rFonts w:hint="eastAsia"/>
          <w:color w:val="auto"/>
        </w:rPr>
      </w:pPr>
      <w:r>
        <w:rPr>
          <w:rFonts w:hint="eastAsia"/>
          <w:color w:val="auto"/>
        </w:rPr>
        <w:t>（6）供应商自2022年9月1日以来具有类似项目服务业绩(单个项目合同金额不低于50万元，提供合同复印件加盖公章，同时提供对应项目结算发票复印件加盖公章)；</w:t>
      </w:r>
    </w:p>
    <w:p w14:paraId="6629762D">
      <w:pPr>
        <w:pStyle w:val="2"/>
        <w:bidi w:val="0"/>
        <w:rPr>
          <w:rFonts w:hint="eastAsia"/>
          <w:color w:val="auto"/>
        </w:rPr>
      </w:pPr>
      <w:r>
        <w:rPr>
          <w:rFonts w:hint="eastAsia"/>
          <w:color w:val="auto"/>
        </w:rPr>
        <w:t>（7）供应商参加采购活动近三年内（成立时间不足三年的、自成立时间起）无重大事故、在经营活动中无重大违法、违规记录，查询地址：国家企业</w:t>
      </w:r>
      <w:r>
        <w:rPr>
          <w:rFonts w:hint="eastAsia"/>
          <w:color w:val="auto"/>
        </w:rPr>
        <w:fldChar w:fldCharType="begin"/>
      </w:r>
      <w:r>
        <w:rPr>
          <w:rFonts w:hint="eastAsia"/>
          <w:color w:val="auto"/>
        </w:rPr>
        <w:instrText xml:space="preserve"> HYPERLINK "javascript:setPayZixun()" </w:instrText>
      </w:r>
      <w:r>
        <w:rPr>
          <w:rFonts w:hint="eastAsia"/>
          <w:color w:val="auto"/>
        </w:rPr>
        <w:fldChar w:fldCharType="separate"/>
      </w:r>
      <w:r>
        <w:rPr>
          <w:rStyle w:val="5"/>
          <w:rFonts w:hint="eastAsia" w:ascii="宋体" w:hAnsi="宋体" w:eastAsia="宋体" w:cs="宋体"/>
          <w:i w:val="0"/>
          <w:iCs w:val="0"/>
          <w:caps w:val="0"/>
          <w:color w:val="auto"/>
          <w:spacing w:val="0"/>
          <w:szCs w:val="24"/>
          <w:u w:val="none"/>
          <w:bdr w:val="none" w:color="auto" w:sz="0" w:space="0"/>
          <w:shd w:val="clear" w:fill="FAFAFA"/>
        </w:rPr>
        <w:t>信用</w:t>
      </w:r>
      <w:r>
        <w:rPr>
          <w:rFonts w:hint="eastAsia"/>
          <w:color w:val="auto"/>
        </w:rPr>
        <w:fldChar w:fldCharType="end"/>
      </w:r>
      <w:r>
        <w:rPr>
          <w:rFonts w:hint="eastAsia"/>
          <w:color w:val="auto"/>
        </w:rPr>
        <w:t>信息公示系统http://www.gsxt.gov.cn/index.html（提供承诺书，采购人将进行核实，以采购人在国家企业信用信息公示系统核实信息为准）；</w:t>
      </w:r>
    </w:p>
    <w:p w14:paraId="51B54052">
      <w:pPr>
        <w:pStyle w:val="2"/>
        <w:bidi w:val="0"/>
        <w:rPr>
          <w:rFonts w:hint="eastAsia"/>
          <w:color w:val="auto"/>
        </w:rPr>
      </w:pPr>
      <w:r>
        <w:rPr>
          <w:rFonts w:hint="eastAsia"/>
          <w:color w:val="auto"/>
        </w:rPr>
        <w:t>（8）被“信用中国”（www.creditchina.gov.cn）列入</w:t>
      </w:r>
      <w:r>
        <w:rPr>
          <w:rFonts w:hint="eastAsia"/>
          <w:color w:val="auto"/>
        </w:rPr>
        <w:fldChar w:fldCharType="begin"/>
      </w:r>
      <w:r>
        <w:rPr>
          <w:rFonts w:hint="eastAsia"/>
          <w:color w:val="auto"/>
        </w:rPr>
        <w:instrText xml:space="preserve"> HYPERLINK "javascript:setPayZixun()" </w:instrText>
      </w:r>
      <w:r>
        <w:rPr>
          <w:rFonts w:hint="eastAsia"/>
          <w:color w:val="auto"/>
        </w:rPr>
        <w:fldChar w:fldCharType="separate"/>
      </w:r>
      <w:r>
        <w:rPr>
          <w:rStyle w:val="5"/>
          <w:rFonts w:hint="eastAsia" w:ascii="宋体" w:hAnsi="宋体" w:eastAsia="宋体" w:cs="宋体"/>
          <w:i w:val="0"/>
          <w:iCs w:val="0"/>
          <w:caps w:val="0"/>
          <w:color w:val="auto"/>
          <w:spacing w:val="0"/>
          <w:szCs w:val="24"/>
          <w:u w:val="none"/>
          <w:bdr w:val="none" w:color="auto" w:sz="0" w:space="0"/>
          <w:shd w:val="clear" w:fill="FAFAFA"/>
        </w:rPr>
        <w:t>失信</w:t>
      </w:r>
      <w:r>
        <w:rPr>
          <w:rFonts w:hint="eastAsia"/>
          <w:color w:val="auto"/>
        </w:rPr>
        <w:fldChar w:fldCharType="end"/>
      </w:r>
      <w:r>
        <w:rPr>
          <w:rFonts w:hint="eastAsia"/>
          <w:color w:val="auto"/>
        </w:rPr>
        <w:t>被执行人名单的供应商，被中国政府采购网（www.ccgp.gov.cn）列入政府采购严重违法失信行为记录名单的供应商，被中国邮政集团有限公司列入黑名单且在有效期内的供应商，均无资格参加本项目的采购活动；</w:t>
      </w:r>
    </w:p>
    <w:p w14:paraId="7CC19988">
      <w:pPr>
        <w:pStyle w:val="2"/>
        <w:bidi w:val="0"/>
        <w:rPr>
          <w:rFonts w:hint="eastAsia"/>
          <w:color w:val="auto"/>
        </w:rPr>
      </w:pPr>
      <w:r>
        <w:rPr>
          <w:rFonts w:hint="eastAsia"/>
          <w:color w:val="auto"/>
        </w:rPr>
        <w:t>（9）供应商与邮政无投资关系且存在以下情况的，不得参加本项目采购活动：邮政领导人员及其亲属和其他特定关系人、邮政员工持股（限非上市公司），以个人身份（组织委派的除外）担任法人、董事长、总经理、监事的企业，以及邮政所属工会或员工集体出资成立的企业；</w:t>
      </w:r>
    </w:p>
    <w:p w14:paraId="1B5F8687">
      <w:pPr>
        <w:pStyle w:val="2"/>
        <w:bidi w:val="0"/>
        <w:rPr>
          <w:rFonts w:hint="eastAsia"/>
          <w:color w:val="auto"/>
        </w:rPr>
      </w:pPr>
      <w:r>
        <w:rPr>
          <w:rFonts w:hint="eastAsia"/>
          <w:color w:val="auto"/>
        </w:rPr>
        <w:t>（10）本项目不接受被中国邮政集团有限公司或中国邮政集团有限公司江苏省分公司列入黑名单且在限制范围内的投标人投标；</w:t>
      </w:r>
    </w:p>
    <w:p w14:paraId="0B2E204E">
      <w:pPr>
        <w:pStyle w:val="2"/>
        <w:bidi w:val="0"/>
        <w:rPr>
          <w:rFonts w:hint="eastAsia"/>
          <w:color w:val="auto"/>
        </w:rPr>
      </w:pPr>
      <w:r>
        <w:rPr>
          <w:rFonts w:hint="eastAsia"/>
          <w:color w:val="auto"/>
        </w:rPr>
        <w:t>（11）供应商单位负责人为同一人或者存在直接控股、管理关系的不同投标人，不得参加同一分包或者未划分分包的同一项目采购活动；</w:t>
      </w:r>
    </w:p>
    <w:p w14:paraId="5D826680">
      <w:pPr>
        <w:pStyle w:val="2"/>
        <w:bidi w:val="0"/>
        <w:rPr>
          <w:rFonts w:hint="eastAsia"/>
          <w:color w:val="auto"/>
        </w:rPr>
      </w:pPr>
      <w:r>
        <w:rPr>
          <w:rFonts w:hint="eastAsia"/>
          <w:color w:val="auto"/>
        </w:rPr>
        <w:t>（12）供应商与中国邮政集团有限公司江苏省内各级分支机构/分公司在既往同类别合同履约过程中存在重大纠纷或问题，已进入仲裁或司法程序，未妥善解决的，不得投标本项目；</w:t>
      </w:r>
    </w:p>
    <w:p w14:paraId="605062BE">
      <w:pPr>
        <w:pStyle w:val="2"/>
        <w:bidi w:val="0"/>
        <w:rPr>
          <w:rFonts w:hint="eastAsia"/>
          <w:color w:val="auto"/>
        </w:rPr>
      </w:pPr>
      <w:r>
        <w:rPr>
          <w:rFonts w:hint="eastAsia"/>
          <w:color w:val="auto"/>
        </w:rPr>
        <w:t>（13）本次招标不接受联合体投标，不可转包、分包。</w:t>
      </w:r>
    </w:p>
    <w:p w14:paraId="0CAC5978">
      <w:pPr>
        <w:pStyle w:val="2"/>
        <w:bidi w:val="0"/>
        <w:rPr>
          <w:rFonts w:hint="eastAsia"/>
          <w:color w:val="auto"/>
        </w:rPr>
      </w:pPr>
      <w:r>
        <w:rPr>
          <w:rFonts w:hint="eastAsia"/>
          <w:color w:val="auto"/>
        </w:rPr>
        <w:t>五、</w:t>
      </w:r>
      <w:r>
        <w:rPr>
          <w:rFonts w:hint="eastAsia"/>
          <w:color w:val="auto"/>
        </w:rPr>
        <w:fldChar w:fldCharType="begin"/>
      </w:r>
      <w:r>
        <w:rPr>
          <w:rFonts w:hint="eastAsia"/>
          <w:color w:val="auto"/>
        </w:rPr>
        <w:instrText xml:space="preserve"> HYPERLINK "javascript:setPayZixun()" \o "标书制作" </w:instrText>
      </w:r>
      <w:r>
        <w:rPr>
          <w:rFonts w:hint="eastAsia"/>
          <w:color w:val="auto"/>
        </w:rPr>
        <w:fldChar w:fldCharType="separate"/>
      </w:r>
      <w:r>
        <w:rPr>
          <w:rStyle w:val="5"/>
          <w:rFonts w:hint="eastAsia" w:ascii="宋体" w:hAnsi="宋体" w:eastAsia="宋体" w:cs="宋体"/>
          <w:b/>
          <w:bCs/>
          <w:i w:val="0"/>
          <w:iCs w:val="0"/>
          <w:caps w:val="0"/>
          <w:color w:val="auto"/>
          <w:spacing w:val="0"/>
          <w:szCs w:val="24"/>
          <w:u w:val="none"/>
          <w:bdr w:val="none" w:color="auto" w:sz="0" w:space="0"/>
          <w:shd w:val="clear" w:fill="FAFAFA"/>
        </w:rPr>
        <w:t>采购文件</w:t>
      </w:r>
      <w:r>
        <w:rPr>
          <w:rFonts w:hint="eastAsia"/>
          <w:color w:val="auto"/>
        </w:rPr>
        <w:fldChar w:fldCharType="end"/>
      </w:r>
      <w:r>
        <w:rPr>
          <w:rFonts w:hint="eastAsia"/>
          <w:color w:val="auto"/>
        </w:rPr>
        <w:t>的获取方式：</w:t>
      </w:r>
    </w:p>
    <w:p w14:paraId="034CFE4F">
      <w:pPr>
        <w:pStyle w:val="2"/>
        <w:bidi w:val="0"/>
        <w:rPr>
          <w:rFonts w:hint="eastAsia"/>
          <w:color w:val="auto"/>
        </w:rPr>
      </w:pPr>
      <w:r>
        <w:rPr>
          <w:rFonts w:hint="eastAsia"/>
          <w:color w:val="auto"/>
        </w:rPr>
        <w:t>（一）办理CA证书</w:t>
      </w:r>
    </w:p>
    <w:p w14:paraId="3DB31EE8">
      <w:pPr>
        <w:pStyle w:val="2"/>
        <w:bidi w:val="0"/>
        <w:rPr>
          <w:rFonts w:hint="eastAsia"/>
          <w:color w:val="auto"/>
        </w:rPr>
      </w:pPr>
      <w:r>
        <w:rPr>
          <w:rFonts w:hint="eastAsia"/>
          <w:color w:val="auto"/>
        </w:rPr>
        <w:t>登录“中国邮政电子采购与供应平台”（网址：https://cg.11185.cn）办理CA证书等。</w:t>
      </w:r>
    </w:p>
    <w:p w14:paraId="2ACEE1F7">
      <w:pPr>
        <w:pStyle w:val="2"/>
        <w:bidi w:val="0"/>
        <w:rPr>
          <w:rFonts w:hint="eastAsia"/>
          <w:color w:val="auto"/>
        </w:rPr>
      </w:pPr>
      <w:r>
        <w:rPr>
          <w:rFonts w:hint="eastAsia"/>
          <w:color w:val="auto"/>
        </w:rPr>
        <w:t>流程：注册→登录→【CA办理】→查找对应项目→报名→填写相关信息→审核→下载招标文件。CA证书办理、“中国邮政电子采购与供应平台”操作相关事宜请下载“平台首页—用户中心—下载中心—下载：中国邮政电子采购与供应平台操作手册-电子采购分册-投标人”，或可联系客服电话：400-709-1099，CA客服电话：400-788-8550 （周一～周五9:00-17:00）。</w:t>
      </w:r>
    </w:p>
    <w:p w14:paraId="7F8E8CD5">
      <w:pPr>
        <w:pStyle w:val="2"/>
        <w:bidi w:val="0"/>
        <w:rPr>
          <w:rFonts w:hint="eastAsia"/>
          <w:color w:val="auto"/>
        </w:rPr>
      </w:pPr>
      <w:r>
        <w:rPr>
          <w:rFonts w:hint="eastAsia"/>
          <w:color w:val="auto"/>
        </w:rPr>
        <w:t>（二）获取招标文件</w:t>
      </w:r>
    </w:p>
    <w:p w14:paraId="6E43E57D">
      <w:pPr>
        <w:pStyle w:val="2"/>
        <w:bidi w:val="0"/>
        <w:rPr>
          <w:rFonts w:hint="eastAsia"/>
          <w:color w:val="auto"/>
        </w:rPr>
      </w:pPr>
      <w:r>
        <w:rPr>
          <w:rFonts w:hint="eastAsia"/>
          <w:color w:val="auto"/>
        </w:rPr>
        <w:t>获取文件流程：进入平台—注册并办理CA—（审批通过）—选择参加投标的项目—获取招标文件—填写并上传订单信息—（审批通过）—下载招标文件（具体参照平台页面右下角“投标人操作指南”）。</w:t>
      </w:r>
    </w:p>
    <w:p w14:paraId="00C91F8D">
      <w:pPr>
        <w:pStyle w:val="2"/>
        <w:bidi w:val="0"/>
        <w:rPr>
          <w:rFonts w:hint="eastAsia"/>
          <w:color w:val="auto"/>
        </w:rPr>
      </w:pPr>
      <w:r>
        <w:rPr>
          <w:rFonts w:hint="eastAsia"/>
          <w:color w:val="auto"/>
        </w:rPr>
        <w:t>1.电子招标文件获取时间：2025年11月11日09时00分至2025年11月14日17时00分。（北京时间，下同）</w:t>
      </w:r>
    </w:p>
    <w:p w14:paraId="50E50077">
      <w:pPr>
        <w:pStyle w:val="2"/>
        <w:bidi w:val="0"/>
        <w:rPr>
          <w:rFonts w:hint="eastAsia"/>
          <w:color w:val="auto"/>
        </w:rPr>
      </w:pPr>
      <w:r>
        <w:rPr>
          <w:rFonts w:hint="eastAsia"/>
          <w:color w:val="auto"/>
        </w:rPr>
        <w:t>2.获取方式：凡有意参加投标者，请于采购文件获取时间内登录《中国邮政电子采购与供应平台》（</w:t>
      </w:r>
      <w:r>
        <w:rPr>
          <w:rFonts w:hint="eastAsia"/>
          <w:color w:val="auto"/>
        </w:rPr>
        <w:fldChar w:fldCharType="begin"/>
      </w:r>
      <w:r>
        <w:rPr>
          <w:rFonts w:hint="eastAsia"/>
          <w:color w:val="auto"/>
        </w:rPr>
        <w:instrText xml:space="preserve"> HYPERLINK "https://cg.11185.xn--cn);-294fy2cu2rtmat89hrpaw6vo4hc13f5so/" </w:instrText>
      </w:r>
      <w:r>
        <w:rPr>
          <w:rFonts w:hint="eastAsia"/>
          <w:color w:val="auto"/>
        </w:rPr>
        <w:fldChar w:fldCharType="separate"/>
      </w:r>
      <w:r>
        <w:rPr>
          <w:rStyle w:val="5"/>
          <w:rFonts w:hint="eastAsia" w:ascii="宋体" w:hAnsi="宋体" w:eastAsia="宋体" w:cs="宋体"/>
          <w:i w:val="0"/>
          <w:iCs w:val="0"/>
          <w:caps w:val="0"/>
          <w:color w:val="auto"/>
          <w:spacing w:val="0"/>
          <w:szCs w:val="24"/>
          <w:u w:val="none"/>
          <w:bdr w:val="none" w:color="auto" w:sz="0" w:space="0"/>
          <w:shd w:val="clear" w:fill="FAFAFA"/>
        </w:rPr>
        <w:t>https://cg.11185.cn）在线报名和获取招标文件，</w:t>
      </w:r>
      <w:r>
        <w:rPr>
          <w:rStyle w:val="5"/>
          <w:rFonts w:hint="eastAsia" w:ascii="宋体" w:hAnsi="宋体" w:eastAsia="宋体" w:cs="宋体"/>
          <w:b/>
          <w:bCs/>
          <w:i w:val="0"/>
          <w:iCs w:val="0"/>
          <w:caps w:val="0"/>
          <w:color w:val="auto"/>
          <w:spacing w:val="0"/>
          <w:szCs w:val="24"/>
          <w:u w:val="none"/>
          <w:bdr w:val="none" w:color="auto" w:sz="0" w:space="0"/>
          <w:shd w:val="clear" w:fill="FAFAFA"/>
        </w:rPr>
        <w:t>投标人须在招标文件获取时间内完成整个流程</w:t>
      </w:r>
      <w:r>
        <w:rPr>
          <w:rStyle w:val="5"/>
          <w:rFonts w:hint="eastAsia" w:ascii="宋体" w:hAnsi="宋体" w:eastAsia="宋体" w:cs="宋体"/>
          <w:i w:val="0"/>
          <w:iCs w:val="0"/>
          <w:caps w:val="0"/>
          <w:color w:val="auto"/>
          <w:spacing w:val="0"/>
          <w:szCs w:val="24"/>
          <w:u w:val="none"/>
          <w:bdr w:val="none" w:color="auto" w:sz="0" w:space="0"/>
          <w:shd w:val="clear" w:fill="FAFAFA"/>
        </w:rPr>
        <w:t>，逾期不予受理。</w:t>
      </w:r>
      <w:r>
        <w:rPr>
          <w:rFonts w:hint="eastAsia"/>
          <w:color w:val="auto"/>
        </w:rPr>
        <w:fldChar w:fldCharType="end"/>
      </w:r>
      <w:r>
        <w:rPr>
          <w:rFonts w:hint="eastAsia"/>
          <w:color w:val="auto"/>
        </w:rPr>
        <w:t>供应商报名请务必按要求填写对应信息，并上传报名资料（1、《报名信息表》（可编辑WORD版）；2、营业执照扫描件）,出现未按照规定上传、资料不全、资料不合格的情况，将审核不通过；供应商应将获取文件时的报名资料和平台服务费支付凭证同步上传至“中国邮政电子采购与供应平台”对应的报名项目中，经审核后即可下载采购文件。</w:t>
      </w:r>
    </w:p>
    <w:p w14:paraId="28966EBC">
      <w:pPr>
        <w:pStyle w:val="2"/>
        <w:bidi w:val="0"/>
        <w:rPr>
          <w:rFonts w:hint="eastAsia"/>
          <w:color w:val="auto"/>
        </w:rPr>
      </w:pPr>
      <w:r>
        <w:rPr>
          <w:rFonts w:hint="eastAsia"/>
          <w:color w:val="auto"/>
        </w:rPr>
        <w:t>3.平台服务费用：500.00 元/份，售后不退。</w:t>
      </w:r>
    </w:p>
    <w:p w14:paraId="51DB2C18">
      <w:pPr>
        <w:pStyle w:val="2"/>
        <w:bidi w:val="0"/>
        <w:rPr>
          <w:rFonts w:hint="eastAsia"/>
          <w:color w:val="auto"/>
        </w:rPr>
      </w:pPr>
      <w:r>
        <w:rPr>
          <w:rFonts w:hint="eastAsia"/>
          <w:color w:val="auto"/>
        </w:rPr>
        <w:t>4.缴纳方式：供应商应登录“邮E招”电子招标采购平台（https://www.youezhao.cn/）的 “帮助中心”下载《供应商操作手册》并注册，注册完成后在平台内左侧导航栏点击“我要参与”，搜索本项目名称或项目编号进行报名和信息登记，然后按照提示找到本项目的虚拟子账号进行平台服务费的缴纳。供应商须填写准确的开票信息及收件信息等，同时在平台自行发起提交发票开具的申请，发票类型默认为数电发票。</w:t>
      </w:r>
    </w:p>
    <w:p w14:paraId="6CCC73CE">
      <w:pPr>
        <w:pStyle w:val="2"/>
        <w:bidi w:val="0"/>
        <w:rPr>
          <w:rFonts w:hint="eastAsia"/>
          <w:color w:val="auto"/>
        </w:rPr>
      </w:pPr>
      <w:r>
        <w:rPr>
          <w:rFonts w:hint="eastAsia"/>
          <w:color w:val="auto"/>
        </w:rPr>
        <w:t>注：“邮E招”电子招标采购平台只用于缴纳平台服务费、投标保证金、中标服务费以及数电发票领取等事宜；项目报名、电子招标文件的下载、电子</w:t>
      </w:r>
      <w:r>
        <w:rPr>
          <w:rFonts w:hint="eastAsia"/>
          <w:color w:val="auto"/>
        </w:rPr>
        <w:fldChar w:fldCharType="begin"/>
      </w:r>
      <w:r>
        <w:rPr>
          <w:rFonts w:hint="eastAsia"/>
          <w:color w:val="auto"/>
        </w:rPr>
        <w:instrText xml:space="preserve"> HYPERLINK "javascript:setPayZixun()" \o "标书制作" </w:instrText>
      </w:r>
      <w:r>
        <w:rPr>
          <w:rFonts w:hint="eastAsia"/>
          <w:color w:val="auto"/>
        </w:rPr>
        <w:fldChar w:fldCharType="separate"/>
      </w:r>
      <w:r>
        <w:rPr>
          <w:rStyle w:val="5"/>
          <w:rFonts w:hint="eastAsia" w:ascii="宋体" w:hAnsi="宋体" w:eastAsia="宋体" w:cs="宋体"/>
          <w:b/>
          <w:bCs/>
          <w:i w:val="0"/>
          <w:iCs w:val="0"/>
          <w:caps w:val="0"/>
          <w:color w:val="auto"/>
          <w:spacing w:val="0"/>
          <w:szCs w:val="24"/>
          <w:u w:val="none"/>
          <w:bdr w:val="none" w:color="auto" w:sz="0" w:space="0"/>
          <w:shd w:val="clear" w:fill="FAFAFA"/>
        </w:rPr>
        <w:t>投标文件</w:t>
      </w:r>
      <w:r>
        <w:rPr>
          <w:rFonts w:hint="eastAsia"/>
          <w:color w:val="auto"/>
        </w:rPr>
        <w:fldChar w:fldCharType="end"/>
      </w:r>
      <w:r>
        <w:rPr>
          <w:rFonts w:hint="eastAsia"/>
          <w:color w:val="auto"/>
        </w:rPr>
        <w:t>的上传、加密以及解密等相关事宜请务必在“中国邮政电子采购与供应平台”进行操作。</w:t>
      </w:r>
    </w:p>
    <w:p w14:paraId="79E395E2">
      <w:pPr>
        <w:pStyle w:val="2"/>
        <w:bidi w:val="0"/>
        <w:rPr>
          <w:rFonts w:hint="eastAsia"/>
          <w:color w:val="auto"/>
        </w:rPr>
      </w:pPr>
      <w:r>
        <w:rPr>
          <w:rFonts w:hint="eastAsia"/>
          <w:color w:val="auto"/>
        </w:rPr>
        <w:t>六、响应文件的递交：</w:t>
      </w:r>
    </w:p>
    <w:p w14:paraId="1A0A0663">
      <w:pPr>
        <w:pStyle w:val="2"/>
        <w:bidi w:val="0"/>
        <w:rPr>
          <w:rFonts w:hint="eastAsia"/>
          <w:color w:val="auto"/>
        </w:rPr>
      </w:pPr>
      <w:r>
        <w:rPr>
          <w:rFonts w:hint="eastAsia"/>
          <w:color w:val="auto"/>
        </w:rPr>
        <w:t>（1）递交平台、递交时间及签到：线上电子版与纸质版响应文件递交的截止时间均为2025年11月18日上午9:30（北京时间），供应商应在截止时间前通过“中国邮政电子采购与供应平台”（网址：https://cg.11185.cn）递交加密的线上电子版响应文件，并在2025年11月18日上午8:30-9:30（北京时间）现场完成纸质版响应文件和线上电子版响应文件“签到”流程。供应商未完成“电子版响应文件递交”及“签到”流程，响应将被拒绝。请供应商准备签到、解密所需CA、电脑等必备设备，供应商应通过制作电子版响应文件的电脑解密电子版响应文件，保证网络畅通、运行环境良好、介质完好等，</w:t>
      </w:r>
      <w:bookmarkStart w:id="1" w:name="_Hlk201044662"/>
      <w:r>
        <w:rPr>
          <w:rFonts w:hint="eastAsia"/>
          <w:color w:val="auto"/>
        </w:rPr>
        <w:t>逾期递交的线上电子版响应文件以及不符合规定的线上电子版响应文件将被拒绝。</w:t>
      </w:r>
      <w:bookmarkEnd w:id="1"/>
    </w:p>
    <w:p w14:paraId="1E7D5CF9">
      <w:pPr>
        <w:pStyle w:val="2"/>
        <w:bidi w:val="0"/>
        <w:rPr>
          <w:rFonts w:hint="eastAsia"/>
          <w:color w:val="auto"/>
        </w:rPr>
      </w:pPr>
      <w:r>
        <w:rPr>
          <w:rFonts w:hint="eastAsia"/>
          <w:color w:val="auto"/>
        </w:rPr>
        <w:t>（2）纸质版响应文件递交及线上电子版响应文件解密地点：</w:t>
      </w:r>
      <w:bookmarkStart w:id="2" w:name="_Hlk117517053"/>
      <w:r>
        <w:rPr>
          <w:rFonts w:hint="eastAsia"/>
          <w:color w:val="auto"/>
        </w:rPr>
        <w:t>江苏省南京市鼓楼区南祖师庵7号中邮通建设咨询有限公司交易中心204会议室。</w:t>
      </w:r>
      <w:bookmarkEnd w:id="2"/>
      <w:r>
        <w:rPr>
          <w:rFonts w:hint="eastAsia"/>
          <w:color w:val="auto"/>
        </w:rPr>
        <w:t>供应商须派代表当面递交纸质版响应文件，并且通过制作线上电子版响应文件的电脑解密线上电子版响应文件，保证网络畅通、运行环境良好、介质完好等。逾期递交的纸质版和线上电子版响应文件以及不符合规定的纸质版和线上电子版响应文件将被拒绝。</w:t>
      </w:r>
    </w:p>
    <w:p w14:paraId="64173A55">
      <w:pPr>
        <w:pStyle w:val="2"/>
        <w:bidi w:val="0"/>
        <w:rPr>
          <w:rFonts w:hint="eastAsia"/>
          <w:color w:val="auto"/>
        </w:rPr>
      </w:pPr>
      <w:r>
        <w:rPr>
          <w:rFonts w:hint="eastAsia"/>
          <w:color w:val="auto"/>
        </w:rPr>
        <w:t>（3）线上电子版响应文件加密、解密：供应商须在响应文件递交截止时间前对“中国邮政电子采购与供应平台”（网址：https://cg.11185.cn）递交的线上电子版响应文件进行加密。供应商须在平台下载《中国邮政投标管家》工具结合CA证书，进行线上电子版响应文件的编制，并在响应文件递交截止时间前进行加密后上传至平台，响应文件递交截止时间后，尽快使用CA证书完成线上电子版响应文件的解密。递交响应文件的设备需为供应商自主可控的电脑终端设备，不得与其他潜在供应商使用同一台电脑递交响应文件。如开标/评审后发现不同供应商上传响应文件的网卡信息/MAC地址、CPU信息/CPUID信息同时完全一致的，对本项目该供应商的响应予以否决。</w:t>
      </w:r>
    </w:p>
    <w:p w14:paraId="15700463">
      <w:pPr>
        <w:pStyle w:val="2"/>
        <w:bidi w:val="0"/>
        <w:rPr>
          <w:rFonts w:hint="eastAsia"/>
          <w:color w:val="auto"/>
        </w:rPr>
      </w:pPr>
      <w:r>
        <w:rPr>
          <w:rFonts w:hint="eastAsia"/>
          <w:color w:val="auto"/>
        </w:rPr>
        <w:t>（4）线上电子版响应文件与纸质版响应文件内容须相同。采购文件中要求的盖章、签字，在制作线上电子版响应文件时可以是有效的电子签章、电子签名，也可以是加盖公章、签字的纸质版扫描件。（电子签章后，文档不应再修改，否则电子签章、签字无效；如需修改，请修改后重新电子签章、签字）。</w:t>
      </w:r>
    </w:p>
    <w:p w14:paraId="3D9A2D3D">
      <w:pPr>
        <w:pStyle w:val="2"/>
        <w:bidi w:val="0"/>
        <w:rPr>
          <w:rFonts w:hint="eastAsia"/>
          <w:color w:val="auto"/>
        </w:rPr>
      </w:pPr>
      <w:r>
        <w:rPr>
          <w:rFonts w:hint="eastAsia"/>
          <w:color w:val="auto"/>
        </w:rPr>
        <w:t>注：1）线上电子版响应文件指：按采购文件要求通过《中国邮政投标管家》工具编制、加密、上传至“中国邮政电子采购与供应平台”（网址：https://cg.11185.cn）的电子版响应文件。</w:t>
      </w:r>
    </w:p>
    <w:p w14:paraId="5E92A4E6">
      <w:pPr>
        <w:pStyle w:val="2"/>
        <w:bidi w:val="0"/>
        <w:rPr>
          <w:rFonts w:hint="eastAsia"/>
          <w:color w:val="auto"/>
        </w:rPr>
      </w:pPr>
      <w:r>
        <w:rPr>
          <w:rFonts w:hint="eastAsia"/>
          <w:color w:val="auto"/>
        </w:rPr>
        <w:t>2）纸质版响应文件指：纸质版响应文件应为加盖公章、签字的纸质版。</w:t>
      </w:r>
    </w:p>
    <w:p w14:paraId="46643F30">
      <w:pPr>
        <w:pStyle w:val="2"/>
        <w:bidi w:val="0"/>
        <w:rPr>
          <w:rFonts w:hint="eastAsia"/>
          <w:color w:val="auto"/>
        </w:rPr>
      </w:pPr>
      <w:r>
        <w:rPr>
          <w:rFonts w:hint="eastAsia"/>
          <w:color w:val="auto"/>
        </w:rPr>
        <w:t>（5）电子响应文件递交及解密异常时的处理方式。当电子响应文件上传异常时，供应商须在递交响应文件截止时间后的【30分钟内】将操作失败的系统桌面的全幅截图提交招标代理机构，该供应商的响应文件以纸质投标文件为准，如也无纸质版响应文件的供应商将被否决。</w:t>
      </w:r>
    </w:p>
    <w:p w14:paraId="5C980D37">
      <w:pPr>
        <w:pStyle w:val="2"/>
        <w:bidi w:val="0"/>
        <w:rPr>
          <w:rFonts w:hint="eastAsia"/>
          <w:color w:val="auto"/>
        </w:rPr>
      </w:pPr>
      <w:r>
        <w:rPr>
          <w:rFonts w:hint="eastAsia"/>
          <w:color w:val="auto"/>
        </w:rPr>
        <w:t>如电子响应文件上传成功但因平台系统问题导致解密异常，供应商须在开启解密后的【30分钟内】将操作失败的系统桌面的全幅截图提交招标代理机构，该供应商的响应文件以纸质响应文件为准，如也无纸质版响应文件的供应商将被否决。</w:t>
      </w:r>
    </w:p>
    <w:p w14:paraId="7DB5CCB0">
      <w:pPr>
        <w:pStyle w:val="2"/>
        <w:bidi w:val="0"/>
        <w:rPr>
          <w:rFonts w:hint="eastAsia"/>
          <w:color w:val="auto"/>
        </w:rPr>
      </w:pPr>
      <w:r>
        <w:rPr>
          <w:rFonts w:hint="eastAsia"/>
          <w:color w:val="auto"/>
        </w:rPr>
        <w:t>如供应商原因导致电子响应文件未上传或上传异常或电子响应文件上传成功但解密异常，其响应将被否决。</w:t>
      </w:r>
    </w:p>
    <w:p w14:paraId="5FB5CAB4">
      <w:pPr>
        <w:pStyle w:val="2"/>
        <w:bidi w:val="0"/>
        <w:rPr>
          <w:rFonts w:hint="eastAsia"/>
          <w:color w:val="auto"/>
        </w:rPr>
      </w:pPr>
      <w:r>
        <w:rPr>
          <w:rFonts w:hint="eastAsia"/>
          <w:color w:val="auto"/>
        </w:rPr>
        <w:t>五、发布公告的媒体：</w:t>
      </w:r>
    </w:p>
    <w:p w14:paraId="5BACD80F">
      <w:pPr>
        <w:pStyle w:val="2"/>
        <w:bidi w:val="0"/>
        <w:rPr>
          <w:rFonts w:hint="eastAsia"/>
          <w:color w:val="auto"/>
        </w:rPr>
      </w:pPr>
      <w:r>
        <w:rPr>
          <w:rFonts w:hint="eastAsia"/>
          <w:color w:val="auto"/>
        </w:rPr>
        <w:t>本次磋商公告同时在中国邮政官方网站（www.chinapost.com.cn）、中国招标投标公共服务平台（www.cebpubservice.com）、江苏招标投标公共服务平台（www.jszbtb.com）、中国邮政电子采购与供应平台（https://cg.11185.cn）、中国采购与招标网（https://www.chinabidding.cn/）上发布。</w:t>
      </w:r>
    </w:p>
    <w:p w14:paraId="2AA86262">
      <w:pPr>
        <w:pStyle w:val="2"/>
        <w:bidi w:val="0"/>
        <w:rPr>
          <w:rFonts w:hint="eastAsia"/>
          <w:color w:val="auto"/>
        </w:rPr>
      </w:pPr>
      <w:r>
        <w:rPr>
          <w:rFonts w:hint="eastAsia"/>
          <w:color w:val="auto"/>
        </w:rPr>
        <w:t>六、联系方式：</w:t>
      </w:r>
    </w:p>
    <w:p w14:paraId="31A1C8BB">
      <w:pPr>
        <w:pStyle w:val="2"/>
        <w:bidi w:val="0"/>
        <w:rPr>
          <w:rFonts w:hint="eastAsia"/>
          <w:color w:val="auto"/>
        </w:rPr>
      </w:pPr>
      <w:r>
        <w:rPr>
          <w:rFonts w:hint="eastAsia"/>
          <w:color w:val="auto"/>
        </w:rPr>
        <w:t>代理机构：中邮通建设咨询有限公司          </w:t>
      </w:r>
    </w:p>
    <w:p w14:paraId="3C4E10E4">
      <w:pPr>
        <w:pStyle w:val="2"/>
        <w:bidi w:val="0"/>
        <w:rPr>
          <w:rFonts w:hint="eastAsia"/>
          <w:color w:val="auto"/>
        </w:rPr>
      </w:pPr>
      <w:r>
        <w:rPr>
          <w:rFonts w:hint="eastAsia"/>
          <w:color w:val="auto"/>
        </w:rPr>
        <w:t>地    址：南京市鼓楼区南祖师庵7号华荣楼3楼</w:t>
      </w:r>
    </w:p>
    <w:p w14:paraId="102EC9F6">
      <w:pPr>
        <w:pStyle w:val="2"/>
        <w:bidi w:val="0"/>
        <w:rPr>
          <w:rFonts w:hint="eastAsia"/>
          <w:color w:val="auto"/>
        </w:rPr>
      </w:pPr>
      <w:r>
        <w:rPr>
          <w:rFonts w:hint="eastAsia"/>
          <w:color w:val="auto"/>
        </w:rPr>
        <w:t>项目负责人：周艺璇、舒荔吟、厉翔       </w:t>
      </w:r>
    </w:p>
    <w:p w14:paraId="5BCCE37F">
      <w:pPr>
        <w:pStyle w:val="2"/>
        <w:bidi w:val="0"/>
        <w:rPr>
          <w:rFonts w:hint="eastAsia"/>
          <w:color w:val="auto"/>
        </w:rPr>
      </w:pPr>
      <w:r>
        <w:rPr>
          <w:rFonts w:hint="eastAsia"/>
          <w:color w:val="auto"/>
        </w:rPr>
        <w:t>报名联系人：周艺璇 13951996883  </w:t>
      </w:r>
      <w:r>
        <w:rPr>
          <w:rFonts w:hint="eastAsia"/>
          <w:color w:val="auto"/>
        </w:rPr>
        <w:fldChar w:fldCharType="begin"/>
      </w:r>
      <w:r>
        <w:rPr>
          <w:rFonts w:hint="eastAsia"/>
          <w:color w:val="auto"/>
        </w:rPr>
        <w:instrText xml:space="preserve"> HYPERLINK "mailto:2392936652@qq.com" </w:instrText>
      </w:r>
      <w:r>
        <w:rPr>
          <w:rFonts w:hint="eastAsia"/>
          <w:color w:val="auto"/>
        </w:rPr>
        <w:fldChar w:fldCharType="separate"/>
      </w:r>
      <w:r>
        <w:rPr>
          <w:rStyle w:val="5"/>
          <w:rFonts w:hint="eastAsia" w:ascii="宋体" w:hAnsi="宋体" w:eastAsia="宋体" w:cs="宋体"/>
          <w:i w:val="0"/>
          <w:iCs w:val="0"/>
          <w:caps w:val="0"/>
          <w:color w:val="auto"/>
          <w:spacing w:val="0"/>
          <w:szCs w:val="24"/>
          <w:u w:val="none"/>
          <w:bdr w:val="none" w:color="auto" w:sz="0" w:space="0"/>
          <w:shd w:val="clear" w:fill="FAFAFA"/>
        </w:rPr>
        <w:t>2392936652@qq.com</w:t>
      </w:r>
      <w:r>
        <w:rPr>
          <w:rFonts w:hint="eastAsia"/>
          <w:color w:val="auto"/>
        </w:rPr>
        <w:fldChar w:fldCharType="end"/>
      </w:r>
    </w:p>
    <w:p w14:paraId="332BCF96">
      <w:pPr>
        <w:pStyle w:val="2"/>
        <w:bidi w:val="0"/>
        <w:rPr>
          <w:rFonts w:hint="eastAsia"/>
          <w:color w:val="auto"/>
        </w:rPr>
      </w:pPr>
      <w:r>
        <w:rPr>
          <w:rFonts w:hint="eastAsia"/>
          <w:color w:val="auto"/>
        </w:rPr>
        <w:t>业务咨询联系人：舒荔吟 13585203608             </w:t>
      </w:r>
    </w:p>
    <w:p w14:paraId="4ED068B9">
      <w:pPr>
        <w:pStyle w:val="2"/>
        <w:bidi w:val="0"/>
        <w:rPr>
          <w:rFonts w:hint="eastAsia"/>
          <w:color w:val="auto"/>
        </w:rPr>
      </w:pPr>
      <w:r>
        <w:rPr>
          <w:rFonts w:hint="eastAsia"/>
          <w:color w:val="auto"/>
        </w:rPr>
        <w:t>                            2025年11月10日</w:t>
      </w:r>
    </w:p>
    <w:p w14:paraId="1A849CCE">
      <w:pPr>
        <w:pStyle w:val="2"/>
        <w:bidi w:val="0"/>
        <w:rPr>
          <w:rFonts w:hint="eastAsia"/>
          <w:color w:val="auto"/>
        </w:rPr>
      </w:pPr>
      <w:r>
        <w:rPr>
          <w:rFonts w:hint="eastAsia"/>
          <w:color w:val="auto"/>
        </w:rPr>
        <w:t> </w:t>
      </w:r>
    </w:p>
    <w:p w14:paraId="26F53646">
      <w:pPr>
        <w:pStyle w:val="2"/>
        <w:bidi w:val="0"/>
        <w:rPr>
          <w:color w:val="auto"/>
        </w:rPr>
      </w:pPr>
    </w:p>
    <w:bookmarkEnd w:id="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8E25F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Hyperlink"/>
    <w:basedOn w:val="4"/>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2025-11-10T08:18:52Z</dcterms:created>
  <dc:creator>28039</dc:creator>
  <cp:lastModifiedBy>璇儿</cp:lastModifiedBy>
  <dcterms:modified xsi:type="dcterms:W3CDTF">2025-11-10T08:19:06Z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eyJoZGlkIjoiMGM2Y2JhNTI2ODZhZDhlNDdiZWJlOWMzN2NmM2E2N2QiLCJ1c2VySWQiOiI5NjU3NTMzMzUifQ==</vt:lpwstr>
  </property>
  <property fmtid="{D5CDD505-2E9C-101B-9397-08002B2CF9AE}" pid="4" name="ICV">
    <vt:lpwstr>76A465548650484EBA939C6AD1636F1A_12</vt:lpwstr>
  </property>
</Properties>
</file>