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FBF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Pr>
      </w:pPr>
      <w:r>
        <w:rPr>
          <w:rStyle w:val="4"/>
          <w:rFonts w:hint="eastAsia"/>
          <w:lang w:val="en-US" w:eastAsia="zh-CN"/>
        </w:rPr>
        <w:t>华西工程科技（深圳）股份有限公司 物资租赁部 科技公司2025-2026年度物流运输框架招标</w:t>
      </w:r>
    </w:p>
    <w:p w14:paraId="16957F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招标公告</w:t>
      </w:r>
    </w:p>
    <w:p w14:paraId="0086F1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华西工程科技（深圳）股份有限公司现就物资租赁部的运输服务采购事宜进行公开招标，欢迎有意向的供应商参加投标。</w:t>
      </w:r>
    </w:p>
    <w:p w14:paraId="0B1A64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7C6B9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一、采购内容</w:t>
      </w:r>
    </w:p>
    <w:p w14:paraId="5D5A56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bookmarkStart w:id="0" w:name="_GoBack"/>
      <w:bookmarkEnd w:id="0"/>
    </w:p>
    <w:p w14:paraId="5FE7F9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运输服务，预计总用量约为： 471。</w:t>
      </w:r>
    </w:p>
    <w:p w14:paraId="048B613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68802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F90D2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二、项目概况</w:t>
      </w:r>
    </w:p>
    <w:p w14:paraId="63FF26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837B4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项目名称： 物资租赁部</w:t>
      </w:r>
    </w:p>
    <w:p w14:paraId="3B1501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项目地址： / </w:t>
      </w:r>
    </w:p>
    <w:p w14:paraId="66C744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建筑规模： 0㎡</w:t>
      </w:r>
    </w:p>
    <w:p w14:paraId="0E69DF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其他详见招标文件。</w:t>
      </w:r>
    </w:p>
    <w:p w14:paraId="0B3512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09F7B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三、招标方式</w:t>
      </w:r>
    </w:p>
    <w:p w14:paraId="58D757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65351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本次采购招标采用公开招标的方式进行，并在善建云采（四川华西集团有限公司及下属分子公司）发布招标公告，网址为：https://scm.zghxsjy.com/。</w:t>
      </w:r>
    </w:p>
    <w:p w14:paraId="42CC53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3AC9A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四、投标人资格要求</w:t>
      </w:r>
    </w:p>
    <w:p w14:paraId="469D1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948A4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在善建云采（四川华西集团有限公司及下属分子公司）（https://scm.zghxsjy.com/）已注册的合格分供商均可参与投标。</w:t>
      </w:r>
    </w:p>
    <w:p w14:paraId="75462D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13C8E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五、招投标时间节点</w:t>
      </w:r>
    </w:p>
    <w:p w14:paraId="3A4EA0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0CB1C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（一）招标文件发售截止时间：    2025-11-25 15:00:00；</w:t>
      </w:r>
    </w:p>
    <w:p w14:paraId="2719FE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（二）投标保证金缴纳的截止时间为：    2025-11-25 15:00:00 ；</w:t>
      </w:r>
    </w:p>
    <w:p w14:paraId="4758CB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（三）本次招标的投标截止时间为：    2025-11-25 15:00:00  ；</w:t>
      </w:r>
    </w:p>
    <w:p w14:paraId="1EA024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（四）本次招标的开标时间为：   2025-11-25 15:00:00  ；</w:t>
      </w:r>
    </w:p>
    <w:p w14:paraId="26B220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（五）电子标书费售价：人民币40 元/套，售后不退。</w:t>
      </w:r>
    </w:p>
    <w:p w14:paraId="16A1AD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488AD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六、缴费注意事项</w:t>
      </w:r>
    </w:p>
    <w:p w14:paraId="7C1F1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C3D5A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为保证招投标的公平公正，善建云采（四川华西集团有限公司及下属分子公司）已与银行实现系统对接，从缴费账号生成、缴费确认、标书下载和投标功能开放，全部实现自动化、线上化，请投标人务必按照下述要求缴纳标书费和投标保证金，避免影响投标。</w:t>
      </w:r>
    </w:p>
    <w:p w14:paraId="6388CD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电子标书费缴纳：</w:t>
      </w:r>
    </w:p>
    <w:p w14:paraId="19FBF9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1、投标人一旦决定投标，请在善建云采（四川华西集团有限公司及下属分子公司）上点击“交标书费”，银行系统会随机自动为该次缴费生成一次性的唯一银行账号。</w:t>
      </w:r>
    </w:p>
    <w:p w14:paraId="648687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2、请投标人务必把标书费转入上述银行账户。投标人缴费后，银行系统会同步自动将缴费信息推送至善建云采（四川华西集团有限公司及下属分子公司）和投标人，善建云采（四川华西集团有限公司及下属分子公司）系统亦同步开放权限，投标人即可在善建云采（四川华西集团有限公司及下属分子公司）浏览和下载标书。</w:t>
      </w:r>
    </w:p>
    <w:p w14:paraId="7D6918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3、投标人务必严格按照上述要求进行投标操作。若投标人缴费到错误账号，善建云采（四川华西集团有限公司及下属分子公司）无法开放投标功能，由此无法购买标书、无法投标、退回款项延迟等产生的一切损失，均由投标人自行承担。</w:t>
      </w:r>
    </w:p>
    <w:p w14:paraId="4526CA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投标保证金缴纳：</w:t>
      </w:r>
    </w:p>
    <w:p w14:paraId="5B4731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1、投标人在善建云采（四川华西集团有限公司及下属分子公司）上点击“交投标保证金”后，由银行系统自动为该次缴费生成唯一银行账号。</w:t>
      </w:r>
    </w:p>
    <w:p w14:paraId="2A237D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2、请投标人务必把投标保证金转入上述银行账户。投标人缴费后，银行系统会同步自动将缴费信息推送至善建云采（四川华西集团有限公司及下属分子公司）和投标人，善建云采（四川华西集团有限公司及下属分子公司）系统亦同步开放权限，投标人即可在善建云采（四川华西集团有限公司及下属分子公司）上传投标文件和填报投标数据。</w:t>
      </w:r>
    </w:p>
    <w:p w14:paraId="6B35FAA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3、投标人务必严格按照上述要求进行投标操作。若投标人缴费到错误账号，善建云采（四川华西集团有限公司及下属分子公司）无法开放投标功能，由此无法投标、退回款项延迟等产生的一切损失，均由投标人自行承担。</w:t>
      </w:r>
    </w:p>
    <w:p w14:paraId="46B12D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投标人缴纳投标保证金必须由投标人对公账户转账，不接受个人账户转款、现金缴存、他人代缴。若出现投标人使用个人账户转款、现金缴存、他人代缴、未按系统自动生成的对应账号转款、超额转款等，平台将无法自动退款。在中标公示结束后3个工作日内未收到保证金退款，投标人应在10个工作日后向四川华西集采电子商务有限公司提供完整的书面缴费依据，四川华西集采电子商务有限公司将在收到投标人提供的完整缴费依据后，在7个工作日内核实并退款。若出现上述情况投标人可编辑含有“招标项目名称”、“招标单位”的短信发送至：19950205781（本号码只接受短信联系方式），也可到访四川华西集采电子商务有限公司进行沟通。</w:t>
      </w:r>
    </w:p>
    <w:p w14:paraId="7D2DFD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系统每次生成的账号，均为一次性账号和唯一性账号，标书费账号与投标保证金账号不同，项目与项目间账号不同。</w:t>
      </w:r>
    </w:p>
    <w:p w14:paraId="26021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DCD86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七、投标文件的递交</w:t>
      </w:r>
    </w:p>
    <w:p w14:paraId="30AA3C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0D515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招标人仅接受投标人通过善建云采（四川华西集团有限公司及下属分子公司）提交的投标文件，不接受通过其他方式提交的书面投标文件。线上投标内容具有法律效力且具有唯一性，请投标人慎重对待。</w:t>
      </w:r>
    </w:p>
    <w:p w14:paraId="58F1F8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8A33E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八、其他描述</w:t>
      </w:r>
    </w:p>
    <w:p w14:paraId="12A3A5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C0B1B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17647A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7EA1A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九、其他资格要求</w:t>
      </w:r>
    </w:p>
    <w:p w14:paraId="38C6CF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9697F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w:t>
      </w:r>
    </w:p>
    <w:p w14:paraId="0DEAAA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790C6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十、其他事项</w:t>
      </w:r>
    </w:p>
    <w:p w14:paraId="61FB28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5CEEB6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若对招标公告有其他不明事项，请致电：</w:t>
      </w:r>
    </w:p>
    <w:p w14:paraId="40BC20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业务咨询联系人： 杨工            ，联系电话：  075582557076；</w:t>
      </w:r>
    </w:p>
    <w:p w14:paraId="40EA7B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技术支持联系人： 王工            ，联系电话：  075582557076；</w:t>
      </w:r>
    </w:p>
    <w:p w14:paraId="028D9D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E6EF8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十一、声明</w:t>
      </w:r>
    </w:p>
    <w:p w14:paraId="7AA93F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32AFBD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本招标公告仅为信息发布，不构成任何法律意义上的要约或承诺。</w:t>
      </w:r>
    </w:p>
    <w:p w14:paraId="5D10C8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        现予公告。</w:t>
      </w:r>
    </w:p>
    <w:p w14:paraId="683245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华西工程科技（深圳）股份有限公司</w:t>
      </w:r>
    </w:p>
    <w:p w14:paraId="6E7561B5">
      <w:pPr>
        <w:rPr>
          <w:rStyle w:val="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75EA8"/>
    <w:rsid w:val="73761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1703</Words>
  <Characters>1857</Characters>
  <Lines>0</Lines>
  <Paragraphs>0</Paragraphs>
  <TotalTime>0</TotalTime>
  <ScaleCrop>false</ScaleCrop>
  <LinksUpToDate>false</LinksUpToDate>
  <CharactersWithSpaces>2207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2025-11-17T02:35:00Z</dcterms:created>
  <dc:creator>28039</dc:creator>
  <cp:lastModifiedBy>璇儿</cp:lastModifiedBy>
  <dcterms:modified xsi:type="dcterms:W3CDTF">2025-11-17T02:38:34Z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EEE786EC2CD24454A22259E6D78BB560_12</vt:lpwstr>
  </property>
</Properties>
</file>