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B33D2">
      <w:pPr>
        <w:ind w:firstLine="960" w:firstLineChars="300"/>
        <w:rPr>
          <w:rFonts w:ascii="微软雅黑" w:hAnsi="微软雅黑" w:eastAsia="微软雅黑"/>
          <w:b/>
          <w:bCs/>
          <w:color w:val="000000" w:themeColor="text1"/>
          <w:sz w:val="32"/>
          <w:szCs w:val="48"/>
          <w:shd w:val="clear" w:color="auto" w:fill="FFFFFF"/>
          <w14:textFill>
            <w14:solidFill>
              <w14:schemeClr w14:val="tx1"/>
            </w14:solidFill>
          </w14:textFill>
        </w:rPr>
      </w:pPr>
      <w:r>
        <w:rPr>
          <w:rFonts w:hint="eastAsia" w:ascii="微软雅黑" w:hAnsi="微软雅黑" w:eastAsia="微软雅黑"/>
          <w:b/>
          <w:bCs/>
          <w:color w:val="000000" w:themeColor="text1"/>
          <w:sz w:val="32"/>
          <w:szCs w:val="48"/>
          <w:shd w:val="clear" w:color="auto" w:fill="FFFFFF"/>
          <w14:textFill>
            <w14:solidFill>
              <w14:schemeClr w14:val="tx1"/>
            </w14:solidFill>
          </w14:textFill>
        </w:rPr>
        <w:t>陕西天士力植物药业有限责任公司药材运输服务</w:t>
      </w:r>
    </w:p>
    <w:p w14:paraId="043830F1">
      <w:pPr>
        <w:jc w:val="center"/>
        <w:rPr>
          <w:rFonts w:ascii="微软雅黑" w:hAnsi="微软雅黑" w:eastAsia="微软雅黑"/>
          <w:b/>
          <w:bCs/>
          <w:color w:val="000000" w:themeColor="text1"/>
          <w:sz w:val="32"/>
          <w:szCs w:val="48"/>
          <w:shd w:val="clear" w:color="auto" w:fill="FFFFFF"/>
          <w14:textFill>
            <w14:solidFill>
              <w14:schemeClr w14:val="tx1"/>
            </w14:solidFill>
          </w14:textFill>
        </w:rPr>
      </w:pPr>
      <w:r>
        <w:rPr>
          <w:rFonts w:hint="eastAsia" w:ascii="微软雅黑" w:hAnsi="微软雅黑" w:eastAsia="微软雅黑"/>
          <w:b/>
          <w:bCs/>
          <w:color w:val="000000" w:themeColor="text1"/>
          <w:sz w:val="32"/>
          <w:szCs w:val="48"/>
          <w:shd w:val="clear" w:color="auto" w:fill="FFFFFF"/>
          <w14:textFill>
            <w14:solidFill>
              <w14:schemeClr w14:val="tx1"/>
            </w14:solidFill>
          </w14:textFill>
        </w:rPr>
        <w:t>供应商征集公告</w:t>
      </w:r>
    </w:p>
    <w:p w14:paraId="20E23FEE">
      <w:pPr>
        <w:ind w:firstLine="560" w:firstLineChars="200"/>
        <w:rPr>
          <w:rFonts w:ascii="仿宋" w:hAnsi="仿宋" w:eastAsia="仿宋"/>
          <w:color w:val="000000" w:themeColor="text1"/>
          <w:sz w:val="28"/>
          <w:szCs w:val="24"/>
          <w14:textFill>
            <w14:solidFill>
              <w14:schemeClr w14:val="tx1"/>
            </w14:solidFill>
          </w14:textFill>
        </w:rPr>
      </w:pPr>
      <w:bookmarkStart w:id="15" w:name="_GoBack"/>
      <w:r>
        <w:rPr>
          <w:rFonts w:hint="eastAsia" w:ascii="仿宋" w:hAnsi="仿宋" w:eastAsia="仿宋"/>
          <w:color w:val="000000" w:themeColor="text1"/>
          <w:sz w:val="28"/>
          <w:szCs w:val="24"/>
          <w14:textFill>
            <w14:solidFill>
              <w14:schemeClr w14:val="tx1"/>
            </w14:solidFill>
          </w14:textFill>
        </w:rPr>
        <w:t>陕西天士力植物药业有限责任公司（简称“天士力植物药业”）是天士力医药集团工业饮片生产、数字化提取规模生产为一体的专业化公司。</w:t>
      </w:r>
      <w:bookmarkEnd w:id="15"/>
      <w:r>
        <w:rPr>
          <w:rFonts w:ascii="仿宋" w:hAnsi="仿宋" w:eastAsia="仿宋"/>
          <w:color w:val="000000" w:themeColor="text1"/>
          <w:sz w:val="28"/>
          <w:szCs w:val="24"/>
          <w14:textFill>
            <w14:solidFill>
              <w14:schemeClr w14:val="tx1"/>
            </w14:solidFill>
          </w14:textFill>
        </w:rPr>
        <w:t>公司</w:t>
      </w:r>
      <w:r>
        <w:rPr>
          <w:rFonts w:hint="eastAsia" w:ascii="仿宋" w:hAnsi="仿宋" w:eastAsia="仿宋"/>
          <w:color w:val="000000" w:themeColor="text1"/>
          <w:sz w:val="28"/>
          <w:szCs w:val="24"/>
          <w14:textFill>
            <w14:solidFill>
              <w14:schemeClr w14:val="tx1"/>
            </w14:solidFill>
          </w14:textFill>
        </w:rPr>
        <w:t>本着公开、公正与公平的原则，对药材运输商通过公开征集的方式引入供应商，竭诚欢迎符合要求的公司参加。</w:t>
      </w:r>
    </w:p>
    <w:p w14:paraId="770F326C">
      <w:pPr>
        <w:pStyle w:val="17"/>
        <w:numPr>
          <w:ilvl w:val="0"/>
          <w:numId w:val="1"/>
        </w:numPr>
        <w:ind w:firstLineChars="0"/>
        <w:rPr>
          <w:rFonts w:ascii="仿宋" w:hAnsi="仿宋" w:eastAsia="仿宋"/>
          <w:color w:val="000000" w:themeColor="text1"/>
          <w:sz w:val="28"/>
          <w:szCs w:val="24"/>
          <w14:textFill>
            <w14:solidFill>
              <w14:schemeClr w14:val="tx1"/>
            </w14:solidFill>
          </w14:textFill>
        </w:rPr>
      </w:pPr>
      <w:r>
        <w:rPr>
          <w:rFonts w:hint="eastAsia" w:ascii="仿宋" w:hAnsi="仿宋" w:eastAsia="仿宋"/>
          <w:color w:val="000000" w:themeColor="text1"/>
          <w:sz w:val="28"/>
          <w:szCs w:val="24"/>
          <w14:textFill>
            <w14:solidFill>
              <w14:schemeClr w14:val="tx1"/>
            </w14:solidFill>
          </w14:textFill>
        </w:rPr>
        <w:t>项目概况</w:t>
      </w:r>
    </w:p>
    <w:p w14:paraId="7227F7CD">
      <w:pPr>
        <w:rPr>
          <w:rFonts w:ascii="仿宋" w:hAnsi="仿宋" w:eastAsia="仿宋"/>
          <w:color w:val="000000" w:themeColor="text1"/>
          <w:sz w:val="28"/>
          <w:szCs w:val="24"/>
          <w14:textFill>
            <w14:solidFill>
              <w14:schemeClr w14:val="tx1"/>
            </w14:solidFill>
          </w14:textFill>
        </w:rPr>
      </w:pPr>
      <w:r>
        <w:rPr>
          <w:rFonts w:hint="eastAsia" w:ascii="仿宋" w:hAnsi="仿宋" w:eastAsia="仿宋"/>
          <w:color w:val="000000" w:themeColor="text1"/>
          <w:sz w:val="28"/>
          <w:szCs w:val="24"/>
          <w14:textFill>
            <w14:solidFill>
              <w14:schemeClr w14:val="tx1"/>
            </w14:solidFill>
          </w14:textFill>
        </w:rPr>
        <w:t>（一）项目名称：道路运输服务—药材运输服务</w:t>
      </w:r>
    </w:p>
    <w:p w14:paraId="08320FCC">
      <w:pPr>
        <w:rPr>
          <w:rFonts w:ascii="仿宋" w:hAnsi="仿宋" w:eastAsia="仿宋"/>
          <w:sz w:val="28"/>
          <w:szCs w:val="24"/>
        </w:rPr>
      </w:pPr>
      <w:r>
        <w:rPr>
          <w:rFonts w:ascii="仿宋" w:hAnsi="仿宋" w:eastAsia="仿宋"/>
          <w:sz w:val="28"/>
          <w:szCs w:val="24"/>
        </w:rPr>
        <w:t>（二）</w:t>
      </w:r>
      <w:r>
        <w:rPr>
          <w:rFonts w:hint="eastAsia" w:ascii="仿宋" w:hAnsi="仿宋" w:eastAsia="仿宋"/>
          <w:sz w:val="28"/>
          <w:szCs w:val="24"/>
        </w:rPr>
        <w:t>项目简介：</w:t>
      </w:r>
    </w:p>
    <w:p w14:paraId="302C5F72">
      <w:pPr>
        <w:spacing w:line="360" w:lineRule="auto"/>
        <w:ind w:firstLine="480" w:firstLineChars="200"/>
        <w:rPr>
          <w:sz w:val="24"/>
          <w:szCs w:val="24"/>
        </w:rPr>
      </w:pPr>
      <w:r>
        <w:rPr>
          <w:rFonts w:hint="eastAsia"/>
          <w:sz w:val="24"/>
          <w:szCs w:val="24"/>
        </w:rPr>
        <w:t>1、具体运输区间见下表：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2268"/>
        <w:gridCol w:w="1134"/>
        <w:gridCol w:w="1418"/>
        <w:gridCol w:w="1417"/>
        <w:gridCol w:w="1701"/>
      </w:tblGrid>
      <w:tr w14:paraId="6103E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25FE134E">
            <w:pPr>
              <w:spacing w:line="360" w:lineRule="auto"/>
              <w:jc w:val="center"/>
              <w:rPr>
                <w:sz w:val="24"/>
                <w:szCs w:val="24"/>
              </w:rPr>
            </w:pPr>
            <w:bookmarkStart w:id="0" w:name="_Hlk213935298"/>
            <w:r>
              <w:rPr>
                <w:rFonts w:hint="eastAsia" w:ascii="宋体" w:hAnsi="宋体" w:eastAsia="宋体" w:cs="宋体"/>
                <w:color w:val="000000"/>
                <w:lang w:bidi="ar"/>
              </w:rPr>
              <w:t>货物类别</w:t>
            </w:r>
          </w:p>
        </w:tc>
        <w:tc>
          <w:tcPr>
            <w:tcW w:w="2268" w:type="dxa"/>
          </w:tcPr>
          <w:p w14:paraId="1F375228">
            <w:pPr>
              <w:spacing w:line="360" w:lineRule="auto"/>
              <w:jc w:val="center"/>
              <w:rPr>
                <w:sz w:val="24"/>
                <w:szCs w:val="24"/>
              </w:rPr>
            </w:pPr>
            <w:r>
              <w:rPr>
                <w:rFonts w:hint="eastAsia"/>
                <w:sz w:val="24"/>
                <w:szCs w:val="24"/>
              </w:rPr>
              <w:t>运输区间</w:t>
            </w:r>
          </w:p>
        </w:tc>
        <w:tc>
          <w:tcPr>
            <w:tcW w:w="1134" w:type="dxa"/>
          </w:tcPr>
          <w:p w14:paraId="28579290">
            <w:pPr>
              <w:spacing w:line="360" w:lineRule="auto"/>
              <w:jc w:val="center"/>
              <w:rPr>
                <w:sz w:val="24"/>
                <w:szCs w:val="24"/>
              </w:rPr>
            </w:pPr>
            <w:r>
              <w:rPr>
                <w:rFonts w:hint="eastAsia" w:ascii="宋体" w:hAnsi="宋体" w:eastAsia="宋体" w:cs="宋体"/>
                <w:sz w:val="24"/>
                <w:szCs w:val="24"/>
              </w:rPr>
              <w:t>起运</w:t>
            </w:r>
            <w:r>
              <w:rPr>
                <w:rFonts w:hint="eastAsia"/>
                <w:sz w:val="24"/>
                <w:szCs w:val="24"/>
              </w:rPr>
              <w:t>地</w:t>
            </w:r>
          </w:p>
        </w:tc>
        <w:tc>
          <w:tcPr>
            <w:tcW w:w="1418" w:type="dxa"/>
          </w:tcPr>
          <w:p w14:paraId="429E6379">
            <w:pPr>
              <w:spacing w:line="360" w:lineRule="auto"/>
              <w:jc w:val="center"/>
              <w:rPr>
                <w:sz w:val="24"/>
                <w:szCs w:val="24"/>
              </w:rPr>
            </w:pPr>
            <w:r>
              <w:rPr>
                <w:rFonts w:hint="eastAsia" w:ascii="宋体" w:hAnsi="宋体" w:eastAsia="宋体" w:cs="宋体"/>
                <w:sz w:val="24"/>
                <w:szCs w:val="24"/>
              </w:rPr>
              <w:t>目的</w:t>
            </w:r>
            <w:r>
              <w:rPr>
                <w:rFonts w:hint="eastAsia"/>
                <w:sz w:val="24"/>
                <w:szCs w:val="24"/>
              </w:rPr>
              <w:t>地</w:t>
            </w:r>
          </w:p>
        </w:tc>
        <w:tc>
          <w:tcPr>
            <w:tcW w:w="1417" w:type="dxa"/>
          </w:tcPr>
          <w:p w14:paraId="272484AC">
            <w:pPr>
              <w:spacing w:line="360" w:lineRule="auto"/>
              <w:jc w:val="center"/>
              <w:rPr>
                <w:sz w:val="24"/>
                <w:szCs w:val="24"/>
              </w:rPr>
            </w:pPr>
            <w:r>
              <w:rPr>
                <w:rStyle w:val="18"/>
                <w:rFonts w:hint="default"/>
                <w:lang w:bidi="ar"/>
              </w:rPr>
              <w:t>所需车型</w:t>
            </w:r>
          </w:p>
        </w:tc>
        <w:tc>
          <w:tcPr>
            <w:tcW w:w="1701" w:type="dxa"/>
          </w:tcPr>
          <w:p w14:paraId="3F029466">
            <w:pPr>
              <w:spacing w:line="360" w:lineRule="auto"/>
              <w:jc w:val="center"/>
              <w:rPr>
                <w:sz w:val="24"/>
                <w:szCs w:val="24"/>
              </w:rPr>
            </w:pPr>
            <w:r>
              <w:rPr>
                <w:rStyle w:val="18"/>
                <w:rFonts w:hint="default"/>
                <w:lang w:bidi="ar"/>
              </w:rPr>
              <w:t>备注</w:t>
            </w:r>
          </w:p>
        </w:tc>
      </w:tr>
      <w:bookmarkEnd w:id="0"/>
      <w:tr w14:paraId="7F851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14:paraId="6D8FB2EE">
            <w:pPr>
              <w:spacing w:line="360" w:lineRule="auto"/>
              <w:jc w:val="center"/>
              <w:rPr>
                <w:rFonts w:ascii="宋体" w:hAnsi="宋体" w:eastAsia="宋体" w:cs="宋体"/>
                <w:color w:val="000000"/>
                <w:lang w:bidi="ar"/>
              </w:rPr>
            </w:pPr>
            <w:bookmarkStart w:id="1" w:name="OLE_LINK59"/>
            <w:bookmarkStart w:id="2" w:name="OLE_LINK60"/>
            <w:bookmarkStart w:id="3" w:name="_Hlk213935579"/>
            <w:r>
              <w:rPr>
                <w:rFonts w:hint="eastAsia" w:ascii="宋体" w:hAnsi="宋体" w:eastAsia="宋体" w:cs="宋体"/>
                <w:color w:val="000000"/>
                <w:lang w:bidi="ar"/>
              </w:rPr>
              <w:t>袋装药材</w:t>
            </w:r>
            <w:bookmarkEnd w:id="1"/>
            <w:bookmarkEnd w:id="2"/>
          </w:p>
        </w:tc>
        <w:tc>
          <w:tcPr>
            <w:tcW w:w="2268" w:type="dxa"/>
            <w:vMerge w:val="restart"/>
            <w:vAlign w:val="center"/>
          </w:tcPr>
          <w:p w14:paraId="3CD0496D">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30吨左右/车</w:t>
            </w:r>
            <w:r>
              <w:rPr>
                <w:rFonts w:ascii="宋体" w:hAnsi="宋体" w:eastAsia="宋体" w:cs="宋体"/>
                <w:color w:val="000000"/>
                <w:lang w:bidi="ar"/>
              </w:rPr>
              <w:t>—</w:t>
            </w:r>
            <w:r>
              <w:rPr>
                <w:rFonts w:hint="eastAsia" w:ascii="宋体" w:hAnsi="宋体" w:eastAsia="宋体" w:cs="宋体"/>
                <w:color w:val="000000"/>
                <w:lang w:bidi="ar"/>
              </w:rPr>
              <w:t>20吨/车（不含20吨）</w:t>
            </w:r>
          </w:p>
        </w:tc>
        <w:tc>
          <w:tcPr>
            <w:tcW w:w="1134" w:type="dxa"/>
          </w:tcPr>
          <w:p w14:paraId="1D9DA2E8">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8" w:type="dxa"/>
          </w:tcPr>
          <w:p w14:paraId="437F5C9F">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天津</w:t>
            </w:r>
          </w:p>
        </w:tc>
        <w:tc>
          <w:tcPr>
            <w:tcW w:w="1417" w:type="dxa"/>
            <w:vMerge w:val="restart"/>
            <w:vAlign w:val="center"/>
          </w:tcPr>
          <w:p w14:paraId="13C7F258">
            <w:pPr>
              <w:spacing w:line="360" w:lineRule="auto"/>
              <w:jc w:val="center"/>
              <w:rPr>
                <w:rFonts w:ascii="宋体" w:hAnsi="宋体" w:eastAsia="宋体" w:cs="宋体"/>
                <w:color w:val="000000"/>
                <w:lang w:bidi="ar"/>
              </w:rPr>
            </w:pPr>
            <w:r>
              <w:rPr>
                <w:rFonts w:ascii="宋体" w:hAnsi="宋体" w:cs="宋体"/>
              </w:rPr>
              <w:t>13.5</w:t>
            </w:r>
            <w:r>
              <w:t>米高栏或</w:t>
            </w:r>
            <w:r>
              <w:rPr>
                <w:rFonts w:ascii="宋体" w:hAnsi="宋体" w:cs="宋体"/>
              </w:rPr>
              <w:t>17.5</w:t>
            </w:r>
            <w:r>
              <w:t>米平板</w:t>
            </w:r>
          </w:p>
        </w:tc>
        <w:tc>
          <w:tcPr>
            <w:tcW w:w="1701" w:type="dxa"/>
            <w:vMerge w:val="restart"/>
          </w:tcPr>
          <w:p w14:paraId="78A8D1CA">
            <w:pPr>
              <w:spacing w:line="360" w:lineRule="auto"/>
              <w:rPr>
                <w:rFonts w:ascii="宋体" w:hAnsi="宋体" w:eastAsia="宋体" w:cs="宋体"/>
                <w:color w:val="000000"/>
                <w:lang w:bidi="ar"/>
              </w:rPr>
            </w:pPr>
            <w:r>
              <w:t>发货量以实发数量为准，价值以给客户的供货价为准</w:t>
            </w:r>
            <w:r>
              <w:rPr>
                <w:rFonts w:hint="eastAsia"/>
              </w:rPr>
              <w:t>，按货物价值购买货运保险</w:t>
            </w:r>
            <w:r>
              <w:t>。发货所需车型以实际发货量为基准</w:t>
            </w:r>
            <w:r>
              <w:rPr>
                <w:rFonts w:hint="eastAsia"/>
              </w:rPr>
              <w:t>。</w:t>
            </w:r>
          </w:p>
        </w:tc>
      </w:tr>
      <w:tr w14:paraId="229BE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14:paraId="300D030B">
            <w:pPr>
              <w:spacing w:line="360" w:lineRule="auto"/>
              <w:jc w:val="center"/>
              <w:rPr>
                <w:rFonts w:ascii="宋体" w:hAnsi="宋体" w:eastAsia="宋体" w:cs="宋体"/>
                <w:color w:val="000000"/>
                <w:lang w:bidi="ar"/>
              </w:rPr>
            </w:pPr>
          </w:p>
        </w:tc>
        <w:tc>
          <w:tcPr>
            <w:tcW w:w="2268" w:type="dxa"/>
            <w:vMerge w:val="continue"/>
            <w:vAlign w:val="center"/>
          </w:tcPr>
          <w:p w14:paraId="7E3A7AA9">
            <w:pPr>
              <w:spacing w:line="360" w:lineRule="auto"/>
              <w:jc w:val="center"/>
              <w:rPr>
                <w:rFonts w:ascii="宋体" w:hAnsi="宋体" w:eastAsia="宋体" w:cs="宋体"/>
                <w:color w:val="000000"/>
                <w:lang w:bidi="ar"/>
              </w:rPr>
            </w:pPr>
          </w:p>
        </w:tc>
        <w:tc>
          <w:tcPr>
            <w:tcW w:w="1134" w:type="dxa"/>
          </w:tcPr>
          <w:p w14:paraId="2480920B">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天津</w:t>
            </w:r>
          </w:p>
        </w:tc>
        <w:tc>
          <w:tcPr>
            <w:tcW w:w="1418" w:type="dxa"/>
          </w:tcPr>
          <w:p w14:paraId="736F7228">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7" w:type="dxa"/>
            <w:vMerge w:val="continue"/>
          </w:tcPr>
          <w:p w14:paraId="36EA0E99">
            <w:pPr>
              <w:spacing w:line="360" w:lineRule="auto"/>
              <w:rPr>
                <w:sz w:val="24"/>
                <w:szCs w:val="24"/>
              </w:rPr>
            </w:pPr>
          </w:p>
        </w:tc>
        <w:tc>
          <w:tcPr>
            <w:tcW w:w="1701" w:type="dxa"/>
            <w:vMerge w:val="continue"/>
          </w:tcPr>
          <w:p w14:paraId="4C3EDC72">
            <w:pPr>
              <w:spacing w:line="360" w:lineRule="auto"/>
              <w:rPr>
                <w:sz w:val="24"/>
                <w:szCs w:val="24"/>
              </w:rPr>
            </w:pPr>
          </w:p>
        </w:tc>
      </w:tr>
      <w:bookmarkEnd w:id="3"/>
      <w:tr w14:paraId="0AC3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14:paraId="52A9C217">
            <w:pPr>
              <w:spacing w:line="360" w:lineRule="auto"/>
              <w:jc w:val="center"/>
              <w:rPr>
                <w:rFonts w:ascii="宋体" w:hAnsi="宋体" w:eastAsia="宋体" w:cs="宋体"/>
                <w:color w:val="000000"/>
                <w:lang w:bidi="ar"/>
              </w:rPr>
            </w:pPr>
          </w:p>
        </w:tc>
        <w:tc>
          <w:tcPr>
            <w:tcW w:w="2268" w:type="dxa"/>
            <w:vMerge w:val="continue"/>
            <w:vAlign w:val="center"/>
          </w:tcPr>
          <w:p w14:paraId="5587DC13">
            <w:pPr>
              <w:spacing w:line="360" w:lineRule="auto"/>
              <w:jc w:val="center"/>
              <w:rPr>
                <w:rFonts w:ascii="宋体" w:hAnsi="宋体" w:eastAsia="宋体" w:cs="宋体"/>
                <w:color w:val="000000"/>
                <w:lang w:bidi="ar"/>
              </w:rPr>
            </w:pPr>
          </w:p>
        </w:tc>
        <w:tc>
          <w:tcPr>
            <w:tcW w:w="1134" w:type="dxa"/>
          </w:tcPr>
          <w:p w14:paraId="58129812">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8" w:type="dxa"/>
          </w:tcPr>
          <w:p w14:paraId="5C60DC34">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辽宁</w:t>
            </w:r>
          </w:p>
        </w:tc>
        <w:tc>
          <w:tcPr>
            <w:tcW w:w="1417" w:type="dxa"/>
            <w:vMerge w:val="continue"/>
          </w:tcPr>
          <w:p w14:paraId="33A0E344">
            <w:pPr>
              <w:spacing w:line="360" w:lineRule="auto"/>
              <w:rPr>
                <w:sz w:val="24"/>
                <w:szCs w:val="24"/>
              </w:rPr>
            </w:pPr>
          </w:p>
        </w:tc>
        <w:tc>
          <w:tcPr>
            <w:tcW w:w="1701" w:type="dxa"/>
            <w:vMerge w:val="continue"/>
          </w:tcPr>
          <w:p w14:paraId="3E3B79FA">
            <w:pPr>
              <w:spacing w:line="360" w:lineRule="auto"/>
              <w:rPr>
                <w:sz w:val="24"/>
                <w:szCs w:val="24"/>
              </w:rPr>
            </w:pPr>
          </w:p>
        </w:tc>
      </w:tr>
      <w:tr w14:paraId="2345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14:paraId="7D1E1B0D">
            <w:pPr>
              <w:spacing w:line="360" w:lineRule="auto"/>
              <w:jc w:val="center"/>
              <w:rPr>
                <w:rFonts w:ascii="宋体" w:hAnsi="宋体" w:eastAsia="宋体" w:cs="宋体"/>
                <w:color w:val="000000"/>
                <w:lang w:bidi="ar"/>
              </w:rPr>
            </w:pPr>
          </w:p>
        </w:tc>
        <w:tc>
          <w:tcPr>
            <w:tcW w:w="2268" w:type="dxa"/>
            <w:vMerge w:val="continue"/>
            <w:vAlign w:val="center"/>
          </w:tcPr>
          <w:p w14:paraId="0700B6D7">
            <w:pPr>
              <w:spacing w:line="360" w:lineRule="auto"/>
              <w:jc w:val="center"/>
              <w:rPr>
                <w:rFonts w:ascii="宋体" w:hAnsi="宋体" w:eastAsia="宋体" w:cs="宋体"/>
                <w:color w:val="000000"/>
                <w:lang w:bidi="ar"/>
              </w:rPr>
            </w:pPr>
          </w:p>
        </w:tc>
        <w:tc>
          <w:tcPr>
            <w:tcW w:w="1134" w:type="dxa"/>
          </w:tcPr>
          <w:p w14:paraId="417305FC">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辽宁</w:t>
            </w:r>
          </w:p>
        </w:tc>
        <w:tc>
          <w:tcPr>
            <w:tcW w:w="1418" w:type="dxa"/>
          </w:tcPr>
          <w:p w14:paraId="74B97101">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7" w:type="dxa"/>
            <w:vMerge w:val="continue"/>
          </w:tcPr>
          <w:p w14:paraId="4068C9DA">
            <w:pPr>
              <w:spacing w:line="360" w:lineRule="auto"/>
              <w:rPr>
                <w:sz w:val="24"/>
                <w:szCs w:val="24"/>
              </w:rPr>
            </w:pPr>
          </w:p>
        </w:tc>
        <w:tc>
          <w:tcPr>
            <w:tcW w:w="1701" w:type="dxa"/>
            <w:vMerge w:val="continue"/>
          </w:tcPr>
          <w:p w14:paraId="0F149281">
            <w:pPr>
              <w:spacing w:line="360" w:lineRule="auto"/>
              <w:rPr>
                <w:sz w:val="24"/>
                <w:szCs w:val="24"/>
              </w:rPr>
            </w:pPr>
          </w:p>
        </w:tc>
      </w:tr>
      <w:tr w14:paraId="63D02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restart"/>
            <w:vAlign w:val="center"/>
          </w:tcPr>
          <w:p w14:paraId="2DA95096">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袋装药材</w:t>
            </w:r>
          </w:p>
        </w:tc>
        <w:tc>
          <w:tcPr>
            <w:tcW w:w="2268" w:type="dxa"/>
            <w:vMerge w:val="restart"/>
            <w:vAlign w:val="center"/>
          </w:tcPr>
          <w:p w14:paraId="168C3287">
            <w:pPr>
              <w:spacing w:line="360" w:lineRule="auto"/>
              <w:jc w:val="center"/>
              <w:rPr>
                <w:rFonts w:ascii="宋体" w:hAnsi="宋体" w:eastAsia="宋体" w:cs="宋体"/>
                <w:color w:val="000000"/>
                <w:lang w:bidi="ar"/>
              </w:rPr>
            </w:pPr>
            <w:bookmarkStart w:id="4" w:name="OLE_LINK47"/>
            <w:bookmarkStart w:id="5" w:name="OLE_LINK48"/>
            <w:r>
              <w:rPr>
                <w:rFonts w:hint="eastAsia" w:ascii="宋体" w:hAnsi="宋体" w:eastAsia="宋体" w:cs="宋体"/>
                <w:color w:val="000000"/>
                <w:lang w:bidi="ar"/>
              </w:rPr>
              <w:t>20吨</w:t>
            </w:r>
            <w:r>
              <w:rPr>
                <w:rFonts w:ascii="宋体" w:hAnsi="宋体" w:eastAsia="宋体" w:cs="宋体"/>
                <w:color w:val="000000"/>
                <w:lang w:bidi="ar"/>
              </w:rPr>
              <w:t>—</w:t>
            </w:r>
            <w:r>
              <w:rPr>
                <w:rFonts w:hint="eastAsia" w:ascii="宋体" w:hAnsi="宋体" w:eastAsia="宋体" w:cs="宋体"/>
                <w:color w:val="000000"/>
                <w:lang w:bidi="ar"/>
              </w:rPr>
              <w:t>10吨</w:t>
            </w:r>
          </w:p>
          <w:p w14:paraId="53855CB0">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（含20吨，不含10吨）</w:t>
            </w:r>
            <w:bookmarkEnd w:id="4"/>
            <w:bookmarkEnd w:id="5"/>
          </w:p>
        </w:tc>
        <w:tc>
          <w:tcPr>
            <w:tcW w:w="1134" w:type="dxa"/>
          </w:tcPr>
          <w:p w14:paraId="3E41AFBE">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8" w:type="dxa"/>
          </w:tcPr>
          <w:p w14:paraId="78FFE3C3">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天津</w:t>
            </w:r>
          </w:p>
        </w:tc>
        <w:tc>
          <w:tcPr>
            <w:tcW w:w="1417" w:type="dxa"/>
            <w:vMerge w:val="restart"/>
          </w:tcPr>
          <w:p w14:paraId="04A39B9C">
            <w:pPr>
              <w:spacing w:line="360" w:lineRule="auto"/>
              <w:jc w:val="center"/>
              <w:rPr>
                <w:rFonts w:ascii="宋体" w:hAnsi="宋体" w:cs="宋体"/>
              </w:rPr>
            </w:pPr>
            <w:r>
              <w:rPr>
                <w:rFonts w:hint="eastAsia" w:ascii="宋体" w:hAnsi="宋体" w:cs="宋体"/>
              </w:rPr>
              <w:t>9.6</w:t>
            </w:r>
            <w:r>
              <w:t>米高栏</w:t>
            </w:r>
          </w:p>
        </w:tc>
        <w:tc>
          <w:tcPr>
            <w:tcW w:w="1701" w:type="dxa"/>
            <w:vMerge w:val="continue"/>
          </w:tcPr>
          <w:p w14:paraId="13955AFC">
            <w:pPr>
              <w:spacing w:line="360" w:lineRule="auto"/>
              <w:rPr>
                <w:sz w:val="24"/>
                <w:szCs w:val="24"/>
              </w:rPr>
            </w:pPr>
          </w:p>
        </w:tc>
      </w:tr>
      <w:tr w14:paraId="44C68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Merge w:val="continue"/>
            <w:vAlign w:val="center"/>
          </w:tcPr>
          <w:p w14:paraId="43B15DA1">
            <w:pPr>
              <w:spacing w:line="360" w:lineRule="auto"/>
              <w:jc w:val="center"/>
              <w:rPr>
                <w:rFonts w:ascii="宋体" w:hAnsi="宋体" w:eastAsia="宋体" w:cs="宋体"/>
                <w:color w:val="000000"/>
                <w:lang w:bidi="ar"/>
              </w:rPr>
            </w:pPr>
          </w:p>
        </w:tc>
        <w:tc>
          <w:tcPr>
            <w:tcW w:w="2268" w:type="dxa"/>
            <w:vMerge w:val="continue"/>
            <w:vAlign w:val="center"/>
          </w:tcPr>
          <w:p w14:paraId="0661B53F">
            <w:pPr>
              <w:spacing w:line="360" w:lineRule="auto"/>
              <w:jc w:val="center"/>
              <w:rPr>
                <w:rFonts w:ascii="宋体" w:hAnsi="宋体" w:eastAsia="宋体" w:cs="宋体"/>
                <w:color w:val="000000"/>
                <w:lang w:bidi="ar"/>
              </w:rPr>
            </w:pPr>
          </w:p>
        </w:tc>
        <w:tc>
          <w:tcPr>
            <w:tcW w:w="1134" w:type="dxa"/>
          </w:tcPr>
          <w:p w14:paraId="6D72D780">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天津</w:t>
            </w:r>
          </w:p>
        </w:tc>
        <w:tc>
          <w:tcPr>
            <w:tcW w:w="1418" w:type="dxa"/>
          </w:tcPr>
          <w:p w14:paraId="69C22A61">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7" w:type="dxa"/>
            <w:vMerge w:val="continue"/>
          </w:tcPr>
          <w:p w14:paraId="422048C7">
            <w:pPr>
              <w:spacing w:line="360" w:lineRule="auto"/>
              <w:rPr>
                <w:sz w:val="24"/>
                <w:szCs w:val="24"/>
              </w:rPr>
            </w:pPr>
          </w:p>
        </w:tc>
        <w:tc>
          <w:tcPr>
            <w:tcW w:w="1701" w:type="dxa"/>
            <w:vMerge w:val="continue"/>
          </w:tcPr>
          <w:p w14:paraId="6B94C13F">
            <w:pPr>
              <w:spacing w:line="360" w:lineRule="auto"/>
              <w:rPr>
                <w:sz w:val="24"/>
                <w:szCs w:val="24"/>
              </w:rPr>
            </w:pPr>
          </w:p>
        </w:tc>
      </w:tr>
      <w:tr w14:paraId="26762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1059F946">
            <w:pPr>
              <w:spacing w:line="360" w:lineRule="auto"/>
              <w:jc w:val="center"/>
              <w:rPr>
                <w:rFonts w:ascii="宋体" w:hAnsi="宋体" w:eastAsia="宋体" w:cs="宋体"/>
                <w:color w:val="000000"/>
                <w:lang w:bidi="ar"/>
              </w:rPr>
            </w:pPr>
            <w:bookmarkStart w:id="6" w:name="_Hlk213935914"/>
            <w:r>
              <w:rPr>
                <w:rFonts w:hint="eastAsia" w:ascii="宋体" w:hAnsi="宋体" w:eastAsia="宋体" w:cs="宋体"/>
                <w:color w:val="000000"/>
                <w:lang w:bidi="ar"/>
              </w:rPr>
              <w:t>袋装药材</w:t>
            </w:r>
          </w:p>
        </w:tc>
        <w:tc>
          <w:tcPr>
            <w:tcW w:w="2268" w:type="dxa"/>
            <w:vMerge w:val="restart"/>
            <w:vAlign w:val="center"/>
          </w:tcPr>
          <w:p w14:paraId="7FFB61C1">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10吨—5吨</w:t>
            </w:r>
          </w:p>
          <w:p w14:paraId="66BCBCE8">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（含10吨，不含5吨）</w:t>
            </w:r>
          </w:p>
        </w:tc>
        <w:tc>
          <w:tcPr>
            <w:tcW w:w="1134" w:type="dxa"/>
          </w:tcPr>
          <w:p w14:paraId="71A7FF3F">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8" w:type="dxa"/>
          </w:tcPr>
          <w:p w14:paraId="54F81476">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天津</w:t>
            </w:r>
          </w:p>
        </w:tc>
        <w:tc>
          <w:tcPr>
            <w:tcW w:w="1417" w:type="dxa"/>
            <w:vMerge w:val="restart"/>
          </w:tcPr>
          <w:p w14:paraId="4AFA5F63">
            <w:pPr>
              <w:spacing w:line="360" w:lineRule="auto"/>
              <w:jc w:val="center"/>
              <w:rPr>
                <w:rFonts w:ascii="宋体" w:hAnsi="宋体" w:cs="宋体"/>
              </w:rPr>
            </w:pPr>
            <w:bookmarkStart w:id="7" w:name="OLE_LINK2"/>
            <w:bookmarkStart w:id="8" w:name="OLE_LINK5"/>
            <w:r>
              <w:rPr>
                <w:rFonts w:hint="eastAsia" w:ascii="宋体" w:hAnsi="宋体" w:cs="宋体"/>
              </w:rPr>
              <w:t>6.8</w:t>
            </w:r>
            <w:r>
              <w:t>米高栏</w:t>
            </w:r>
            <w:bookmarkEnd w:id="7"/>
            <w:bookmarkEnd w:id="8"/>
          </w:p>
        </w:tc>
        <w:tc>
          <w:tcPr>
            <w:tcW w:w="1701" w:type="dxa"/>
            <w:vMerge w:val="continue"/>
          </w:tcPr>
          <w:p w14:paraId="022A2911">
            <w:pPr>
              <w:spacing w:line="360" w:lineRule="auto"/>
              <w:rPr>
                <w:sz w:val="24"/>
                <w:szCs w:val="24"/>
              </w:rPr>
            </w:pPr>
          </w:p>
        </w:tc>
      </w:tr>
      <w:bookmarkEnd w:id="6"/>
      <w:tr w14:paraId="7E924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56820CE0">
            <w:pPr>
              <w:spacing w:line="360" w:lineRule="auto"/>
              <w:jc w:val="center"/>
              <w:rPr>
                <w:rFonts w:ascii="宋体" w:hAnsi="宋体" w:eastAsia="宋体" w:cs="宋体"/>
                <w:color w:val="000000"/>
                <w:lang w:bidi="ar"/>
              </w:rPr>
            </w:pPr>
            <w:bookmarkStart w:id="9" w:name="_Hlk213935932"/>
            <w:r>
              <w:rPr>
                <w:rFonts w:hint="eastAsia" w:ascii="宋体" w:hAnsi="宋体" w:eastAsia="宋体" w:cs="宋体"/>
                <w:color w:val="000000"/>
                <w:lang w:bidi="ar"/>
              </w:rPr>
              <w:t>袋装药材</w:t>
            </w:r>
          </w:p>
        </w:tc>
        <w:tc>
          <w:tcPr>
            <w:tcW w:w="2268" w:type="dxa"/>
            <w:vMerge w:val="continue"/>
            <w:vAlign w:val="center"/>
          </w:tcPr>
          <w:p w14:paraId="5634D7FF">
            <w:pPr>
              <w:spacing w:line="360" w:lineRule="auto"/>
              <w:jc w:val="center"/>
              <w:rPr>
                <w:rFonts w:ascii="宋体" w:hAnsi="宋体" w:eastAsia="宋体" w:cs="宋体"/>
                <w:color w:val="000000"/>
                <w:lang w:bidi="ar"/>
              </w:rPr>
            </w:pPr>
          </w:p>
        </w:tc>
        <w:tc>
          <w:tcPr>
            <w:tcW w:w="1134" w:type="dxa"/>
          </w:tcPr>
          <w:p w14:paraId="444F3DAF">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天津</w:t>
            </w:r>
          </w:p>
        </w:tc>
        <w:tc>
          <w:tcPr>
            <w:tcW w:w="1418" w:type="dxa"/>
          </w:tcPr>
          <w:p w14:paraId="2EFE3991">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7" w:type="dxa"/>
            <w:vMerge w:val="continue"/>
          </w:tcPr>
          <w:p w14:paraId="34AE8642">
            <w:pPr>
              <w:spacing w:line="360" w:lineRule="auto"/>
              <w:rPr>
                <w:sz w:val="24"/>
                <w:szCs w:val="24"/>
              </w:rPr>
            </w:pPr>
          </w:p>
        </w:tc>
        <w:tc>
          <w:tcPr>
            <w:tcW w:w="1701" w:type="dxa"/>
            <w:vMerge w:val="continue"/>
          </w:tcPr>
          <w:p w14:paraId="266151F8">
            <w:pPr>
              <w:spacing w:line="360" w:lineRule="auto"/>
              <w:rPr>
                <w:sz w:val="24"/>
                <w:szCs w:val="24"/>
              </w:rPr>
            </w:pPr>
          </w:p>
        </w:tc>
      </w:tr>
      <w:bookmarkEnd w:id="9"/>
      <w:tr w14:paraId="00247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783881B5">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袋装药材</w:t>
            </w:r>
          </w:p>
        </w:tc>
        <w:tc>
          <w:tcPr>
            <w:tcW w:w="2268" w:type="dxa"/>
            <w:vMerge w:val="restart"/>
            <w:vAlign w:val="center"/>
          </w:tcPr>
          <w:p w14:paraId="2AD4F371">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5吨及5吨以下</w:t>
            </w:r>
          </w:p>
        </w:tc>
        <w:tc>
          <w:tcPr>
            <w:tcW w:w="1134" w:type="dxa"/>
          </w:tcPr>
          <w:p w14:paraId="468C051A">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8" w:type="dxa"/>
          </w:tcPr>
          <w:p w14:paraId="04AC8220">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天津</w:t>
            </w:r>
          </w:p>
        </w:tc>
        <w:tc>
          <w:tcPr>
            <w:tcW w:w="1417" w:type="dxa"/>
            <w:vMerge w:val="restart"/>
          </w:tcPr>
          <w:p w14:paraId="11528DDC">
            <w:pPr>
              <w:spacing w:line="360" w:lineRule="auto"/>
              <w:rPr>
                <w:sz w:val="24"/>
                <w:szCs w:val="24"/>
              </w:rPr>
            </w:pPr>
            <w:r>
              <w:rPr>
                <w:rFonts w:hint="eastAsia" w:ascii="宋体" w:hAnsi="宋体" w:cs="宋体"/>
              </w:rPr>
              <w:t>6.8</w:t>
            </w:r>
            <w:r>
              <w:t>米高栏</w:t>
            </w:r>
          </w:p>
        </w:tc>
        <w:tc>
          <w:tcPr>
            <w:tcW w:w="1701" w:type="dxa"/>
            <w:vMerge w:val="continue"/>
          </w:tcPr>
          <w:p w14:paraId="2718DEB4">
            <w:pPr>
              <w:spacing w:line="360" w:lineRule="auto"/>
              <w:rPr>
                <w:sz w:val="24"/>
                <w:szCs w:val="24"/>
              </w:rPr>
            </w:pPr>
          </w:p>
        </w:tc>
      </w:tr>
      <w:tr w14:paraId="51935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79F20D62">
            <w:pPr>
              <w:spacing w:line="360" w:lineRule="auto"/>
              <w:jc w:val="center"/>
              <w:rPr>
                <w:sz w:val="24"/>
                <w:szCs w:val="24"/>
              </w:rPr>
            </w:pPr>
            <w:r>
              <w:rPr>
                <w:rFonts w:hint="eastAsia" w:ascii="宋体" w:hAnsi="宋体" w:eastAsia="宋体" w:cs="宋体"/>
                <w:color w:val="000000"/>
                <w:lang w:bidi="ar"/>
              </w:rPr>
              <w:t>木框货物</w:t>
            </w:r>
          </w:p>
        </w:tc>
        <w:tc>
          <w:tcPr>
            <w:tcW w:w="2268" w:type="dxa"/>
            <w:vMerge w:val="continue"/>
          </w:tcPr>
          <w:p w14:paraId="55F86009">
            <w:pPr>
              <w:spacing w:line="360" w:lineRule="auto"/>
              <w:rPr>
                <w:sz w:val="24"/>
                <w:szCs w:val="24"/>
              </w:rPr>
            </w:pPr>
          </w:p>
        </w:tc>
        <w:tc>
          <w:tcPr>
            <w:tcW w:w="1134" w:type="dxa"/>
          </w:tcPr>
          <w:p w14:paraId="348927CA">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天津</w:t>
            </w:r>
          </w:p>
        </w:tc>
        <w:tc>
          <w:tcPr>
            <w:tcW w:w="1418" w:type="dxa"/>
          </w:tcPr>
          <w:p w14:paraId="0CC84727">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7" w:type="dxa"/>
            <w:vMerge w:val="continue"/>
          </w:tcPr>
          <w:p w14:paraId="1222F31D">
            <w:pPr>
              <w:spacing w:line="360" w:lineRule="auto"/>
              <w:rPr>
                <w:sz w:val="24"/>
                <w:szCs w:val="24"/>
              </w:rPr>
            </w:pPr>
          </w:p>
        </w:tc>
        <w:tc>
          <w:tcPr>
            <w:tcW w:w="1701" w:type="dxa"/>
            <w:vMerge w:val="continue"/>
          </w:tcPr>
          <w:p w14:paraId="61D55E66">
            <w:pPr>
              <w:spacing w:line="360" w:lineRule="auto"/>
              <w:rPr>
                <w:sz w:val="24"/>
                <w:szCs w:val="24"/>
              </w:rPr>
            </w:pPr>
          </w:p>
        </w:tc>
      </w:tr>
      <w:tr w14:paraId="1EF79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14:paraId="2990C4BC">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木框货物</w:t>
            </w:r>
          </w:p>
        </w:tc>
        <w:tc>
          <w:tcPr>
            <w:tcW w:w="2268" w:type="dxa"/>
            <w:vMerge w:val="continue"/>
          </w:tcPr>
          <w:p w14:paraId="31D83844">
            <w:pPr>
              <w:spacing w:line="360" w:lineRule="auto"/>
              <w:rPr>
                <w:sz w:val="24"/>
                <w:szCs w:val="24"/>
              </w:rPr>
            </w:pPr>
          </w:p>
        </w:tc>
        <w:tc>
          <w:tcPr>
            <w:tcW w:w="1134" w:type="dxa"/>
          </w:tcPr>
          <w:p w14:paraId="4EF35C9F">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天津</w:t>
            </w:r>
          </w:p>
        </w:tc>
        <w:tc>
          <w:tcPr>
            <w:tcW w:w="1418" w:type="dxa"/>
          </w:tcPr>
          <w:p w14:paraId="69352A62">
            <w:pPr>
              <w:spacing w:line="360" w:lineRule="auto"/>
              <w:jc w:val="center"/>
              <w:rPr>
                <w:rFonts w:ascii="宋体" w:hAnsi="宋体" w:eastAsia="宋体" w:cs="宋体"/>
                <w:color w:val="000000"/>
                <w:lang w:bidi="ar"/>
              </w:rPr>
            </w:pPr>
            <w:r>
              <w:rPr>
                <w:rFonts w:hint="eastAsia" w:ascii="宋体" w:hAnsi="宋体" w:eastAsia="宋体" w:cs="宋体"/>
                <w:color w:val="000000"/>
                <w:lang w:bidi="ar"/>
              </w:rPr>
              <w:t>商州</w:t>
            </w:r>
          </w:p>
        </w:tc>
        <w:tc>
          <w:tcPr>
            <w:tcW w:w="1417" w:type="dxa"/>
            <w:vMerge w:val="continue"/>
          </w:tcPr>
          <w:p w14:paraId="3DEF004C">
            <w:pPr>
              <w:spacing w:line="360" w:lineRule="auto"/>
              <w:rPr>
                <w:sz w:val="24"/>
                <w:szCs w:val="24"/>
              </w:rPr>
            </w:pPr>
          </w:p>
        </w:tc>
        <w:tc>
          <w:tcPr>
            <w:tcW w:w="1701" w:type="dxa"/>
            <w:vMerge w:val="continue"/>
          </w:tcPr>
          <w:p w14:paraId="14EB3908">
            <w:pPr>
              <w:spacing w:line="360" w:lineRule="auto"/>
              <w:rPr>
                <w:sz w:val="24"/>
                <w:szCs w:val="24"/>
              </w:rPr>
            </w:pPr>
          </w:p>
        </w:tc>
      </w:tr>
    </w:tbl>
    <w:p w14:paraId="6DF51F67">
      <w:pPr>
        <w:rPr>
          <w:rFonts w:ascii="仿宋" w:hAnsi="仿宋" w:eastAsia="仿宋"/>
          <w:sz w:val="28"/>
          <w:szCs w:val="24"/>
        </w:rPr>
      </w:pPr>
      <w:bookmarkStart w:id="10" w:name="OLE_LINK6"/>
      <w:r>
        <w:rPr>
          <w:rFonts w:hint="eastAsia" w:ascii="仿宋" w:hAnsi="仿宋" w:eastAsia="仿宋"/>
          <w:sz w:val="28"/>
          <w:szCs w:val="24"/>
        </w:rPr>
        <w:t>（三）</w:t>
      </w:r>
      <w:bookmarkEnd w:id="10"/>
      <w:r>
        <w:rPr>
          <w:rFonts w:hint="eastAsia" w:ascii="仿宋" w:hAnsi="仿宋" w:eastAsia="仿宋"/>
          <w:sz w:val="28"/>
          <w:szCs w:val="24"/>
        </w:rPr>
        <w:t>项目运输起止点：</w:t>
      </w:r>
    </w:p>
    <w:p w14:paraId="081F1223">
      <w:pPr>
        <w:rPr>
          <w:rFonts w:ascii="仿宋" w:hAnsi="仿宋" w:eastAsia="仿宋"/>
          <w:sz w:val="28"/>
          <w:szCs w:val="24"/>
        </w:rPr>
      </w:pPr>
      <w:r>
        <w:rPr>
          <w:rFonts w:hint="eastAsia" w:ascii="仿宋" w:hAnsi="仿宋" w:eastAsia="仿宋"/>
          <w:sz w:val="28"/>
          <w:szCs w:val="24"/>
        </w:rPr>
        <w:t>运输起点：陕西天士力植物药业有限责任公司（商洛市商丹园区管委会斜对面）；</w:t>
      </w:r>
    </w:p>
    <w:p w14:paraId="7DDB7A9A">
      <w:pPr>
        <w:rPr>
          <w:rFonts w:ascii="仿宋" w:hAnsi="仿宋" w:eastAsia="仿宋"/>
          <w:sz w:val="28"/>
          <w:szCs w:val="24"/>
        </w:rPr>
      </w:pPr>
      <w:r>
        <w:rPr>
          <w:rFonts w:hint="eastAsia" w:ascii="仿宋" w:hAnsi="仿宋" w:eastAsia="仿宋"/>
          <w:sz w:val="28"/>
          <w:szCs w:val="24"/>
        </w:rPr>
        <w:t>运输终点：天津市北辰区、辽宁省本溪市（天津市北辰区自完成装车后72小时内到达；辽宁省本溪市自完成装车后96小时内到达）。</w:t>
      </w:r>
    </w:p>
    <w:p w14:paraId="49CE8759">
      <w:pPr>
        <w:rPr>
          <w:rFonts w:ascii="仿宋" w:hAnsi="仿宋" w:eastAsia="仿宋"/>
          <w:sz w:val="28"/>
          <w:szCs w:val="24"/>
        </w:rPr>
      </w:pPr>
      <w:r>
        <w:rPr>
          <w:rFonts w:hint="eastAsia" w:ascii="仿宋" w:hAnsi="仿宋" w:eastAsia="仿宋"/>
          <w:sz w:val="28"/>
          <w:szCs w:val="24"/>
        </w:rPr>
        <w:t>二、</w:t>
      </w:r>
      <w:r>
        <w:rPr>
          <w:rFonts w:ascii="仿宋" w:hAnsi="仿宋" w:eastAsia="仿宋"/>
          <w:sz w:val="28"/>
          <w:szCs w:val="24"/>
        </w:rPr>
        <w:t>供应商</w:t>
      </w:r>
      <w:r>
        <w:rPr>
          <w:rFonts w:hint="eastAsia" w:ascii="仿宋" w:hAnsi="仿宋" w:eastAsia="仿宋"/>
          <w:sz w:val="28"/>
          <w:szCs w:val="24"/>
        </w:rPr>
        <w:t>征集对象及</w:t>
      </w:r>
      <w:r>
        <w:rPr>
          <w:rFonts w:ascii="仿宋" w:hAnsi="仿宋" w:eastAsia="仿宋"/>
          <w:sz w:val="28"/>
          <w:szCs w:val="24"/>
        </w:rPr>
        <w:t>要求</w:t>
      </w:r>
    </w:p>
    <w:p w14:paraId="01B6C17D">
      <w:pPr>
        <w:widowControl/>
        <w:shd w:val="clear" w:color="auto" w:fill="FFFFFF"/>
        <w:spacing w:line="420" w:lineRule="atLeast"/>
        <w:ind w:left="720" w:hanging="720"/>
        <w:jc w:val="left"/>
        <w:rPr>
          <w:rFonts w:ascii="仿宋" w:hAnsi="仿宋" w:eastAsia="仿宋"/>
          <w:sz w:val="28"/>
          <w:szCs w:val="24"/>
        </w:rPr>
      </w:pPr>
      <w:bookmarkStart w:id="11" w:name="OLE_LINK1"/>
      <w:r>
        <w:rPr>
          <w:rFonts w:hint="eastAsia" w:ascii="仿宋" w:hAnsi="仿宋" w:eastAsia="仿宋"/>
          <w:sz w:val="28"/>
          <w:szCs w:val="24"/>
        </w:rPr>
        <w:t>（一）</w:t>
      </w:r>
      <w:bookmarkEnd w:id="11"/>
      <w:r>
        <w:rPr>
          <w:rFonts w:hint="eastAsia" w:ascii="仿宋" w:hAnsi="仿宋" w:eastAsia="仿宋"/>
          <w:sz w:val="28"/>
          <w:szCs w:val="24"/>
        </w:rPr>
        <w:t>征集对象面向企业：已经进入</w:t>
      </w:r>
      <w:bookmarkStart w:id="12" w:name="OLE_LINK4"/>
      <w:r>
        <w:rPr>
          <w:rFonts w:hint="eastAsia" w:ascii="仿宋" w:hAnsi="仿宋" w:eastAsia="仿宋"/>
          <w:sz w:val="28"/>
          <w:szCs w:val="24"/>
        </w:rPr>
        <w:t>华润医药或华润三九或天士力</w:t>
      </w:r>
      <w:bookmarkEnd w:id="12"/>
      <w:r>
        <w:rPr>
          <w:rFonts w:hint="eastAsia" w:ascii="仿宋" w:hAnsi="仿宋" w:eastAsia="仿宋"/>
          <w:sz w:val="28"/>
          <w:szCs w:val="24"/>
        </w:rPr>
        <w:t>合格供应商库的企业、尚未进入华润医药或华润三九或天士力合格供应商库的所有符合要求的企业。</w:t>
      </w:r>
    </w:p>
    <w:p w14:paraId="6A0E83F6">
      <w:pPr>
        <w:widowControl/>
        <w:shd w:val="clear" w:color="auto" w:fill="FFFFFF"/>
        <w:spacing w:line="420" w:lineRule="atLeast"/>
        <w:ind w:left="720" w:hanging="720"/>
        <w:jc w:val="left"/>
        <w:rPr>
          <w:rFonts w:ascii="仿宋" w:hAnsi="仿宋" w:eastAsia="仿宋"/>
          <w:sz w:val="28"/>
          <w:szCs w:val="24"/>
        </w:rPr>
      </w:pPr>
      <w:r>
        <w:rPr>
          <w:rFonts w:ascii="仿宋" w:hAnsi="仿宋" w:eastAsia="仿宋"/>
          <w:sz w:val="28"/>
          <w:szCs w:val="24"/>
        </w:rPr>
        <w:t>（二）</w:t>
      </w:r>
      <w:r>
        <w:rPr>
          <w:rFonts w:hint="eastAsia" w:ascii="仿宋" w:hAnsi="仿宋" w:eastAsia="仿宋"/>
          <w:sz w:val="28"/>
          <w:szCs w:val="24"/>
        </w:rPr>
        <w:t>申请企业必须具备的基本资格要求：</w:t>
      </w:r>
    </w:p>
    <w:p w14:paraId="132B33D5">
      <w:pPr>
        <w:widowControl/>
        <w:shd w:val="clear" w:color="auto" w:fill="FFFFFF"/>
        <w:spacing w:line="420" w:lineRule="atLeast"/>
        <w:ind w:left="720" w:hanging="720"/>
        <w:jc w:val="left"/>
        <w:rPr>
          <w:rFonts w:ascii="仿宋" w:hAnsi="仿宋" w:eastAsia="仿宋"/>
          <w:sz w:val="28"/>
          <w:szCs w:val="24"/>
        </w:rPr>
      </w:pPr>
      <w:r>
        <w:rPr>
          <w:rFonts w:hint="eastAsia" w:ascii="仿宋" w:hAnsi="仿宋" w:eastAsia="仿宋"/>
          <w:sz w:val="28"/>
          <w:szCs w:val="24"/>
        </w:rPr>
        <w:t>1、具有独立签订合同的权利和承担民事责任的能力、有效的《营业执照》及相关资质文件（具体要求详见附件1）；</w:t>
      </w:r>
    </w:p>
    <w:p w14:paraId="49ED611B">
      <w:pPr>
        <w:widowControl/>
        <w:shd w:val="clear" w:color="auto" w:fill="FFFFFF"/>
        <w:spacing w:line="420" w:lineRule="atLeast"/>
        <w:ind w:left="720" w:hanging="720"/>
        <w:jc w:val="left"/>
        <w:rPr>
          <w:rFonts w:ascii="仿宋" w:hAnsi="仿宋" w:eastAsia="仿宋"/>
          <w:sz w:val="28"/>
          <w:szCs w:val="24"/>
        </w:rPr>
      </w:pPr>
      <w:r>
        <w:rPr>
          <w:rFonts w:hint="eastAsia" w:ascii="仿宋" w:hAnsi="仿宋" w:eastAsia="仿宋"/>
          <w:sz w:val="28"/>
          <w:szCs w:val="24"/>
        </w:rPr>
        <w:t>2、具有一般纳税人资格，能开具增值税专用发票，2023年1月-至今，未受到政府部门的处罚；</w:t>
      </w:r>
    </w:p>
    <w:p w14:paraId="1854F523">
      <w:pPr>
        <w:widowControl/>
        <w:shd w:val="clear" w:color="auto" w:fill="FFFFFF"/>
        <w:spacing w:line="420" w:lineRule="atLeast"/>
        <w:ind w:left="720" w:hanging="720"/>
        <w:jc w:val="left"/>
        <w:rPr>
          <w:rFonts w:ascii="仿宋" w:hAnsi="仿宋" w:eastAsia="仿宋"/>
          <w:sz w:val="28"/>
          <w:szCs w:val="24"/>
        </w:rPr>
      </w:pPr>
      <w:r>
        <w:rPr>
          <w:rFonts w:hint="eastAsia" w:ascii="仿宋" w:hAnsi="仿宋" w:eastAsia="仿宋"/>
          <w:sz w:val="28"/>
          <w:szCs w:val="24"/>
        </w:rPr>
        <w:t>3、可以满足附件1“供应商入库资格要求”并按要求提报所需资料。</w:t>
      </w:r>
    </w:p>
    <w:p w14:paraId="0E4D0FAB">
      <w:pPr>
        <w:widowControl/>
        <w:shd w:val="clear" w:color="auto" w:fill="FFFFFF"/>
        <w:spacing w:line="420" w:lineRule="atLeast"/>
        <w:ind w:left="720" w:hanging="720"/>
        <w:jc w:val="left"/>
        <w:rPr>
          <w:rFonts w:ascii="仿宋" w:hAnsi="仿宋" w:eastAsia="仿宋"/>
          <w:sz w:val="28"/>
          <w:szCs w:val="24"/>
        </w:rPr>
      </w:pPr>
      <w:r>
        <w:rPr>
          <w:rFonts w:hint="eastAsia" w:ascii="仿宋" w:hAnsi="仿宋" w:eastAsia="仿宋"/>
          <w:sz w:val="28"/>
          <w:szCs w:val="24"/>
        </w:rPr>
        <w:t>4、</w:t>
      </w:r>
      <w:r>
        <w:rPr>
          <w:rFonts w:ascii="仿宋" w:hAnsi="仿宋" w:eastAsia="仿宋"/>
          <w:sz w:val="28"/>
          <w:szCs w:val="24"/>
        </w:rPr>
        <w:t>报名供应商未在华润集团或华润三九或天士力供应商黑名单中。</w:t>
      </w:r>
    </w:p>
    <w:p w14:paraId="3D5EBF54">
      <w:pPr>
        <w:widowControl/>
        <w:shd w:val="clear" w:color="auto" w:fill="FFFFFF"/>
        <w:spacing w:line="420" w:lineRule="atLeast"/>
        <w:ind w:left="720" w:hanging="720"/>
        <w:jc w:val="left"/>
        <w:rPr>
          <w:rFonts w:ascii="仿宋" w:hAnsi="仿宋" w:eastAsia="仿宋"/>
          <w:sz w:val="28"/>
          <w:szCs w:val="24"/>
        </w:rPr>
      </w:pPr>
      <w:r>
        <w:rPr>
          <w:rFonts w:hint="eastAsia" w:ascii="仿宋" w:hAnsi="仿宋" w:eastAsia="仿宋"/>
          <w:sz w:val="28"/>
          <w:szCs w:val="24"/>
        </w:rPr>
        <w:t>5、</w:t>
      </w:r>
      <w:r>
        <w:rPr>
          <w:rFonts w:ascii="仿宋" w:hAnsi="仿宋" w:eastAsia="仿宋"/>
          <w:sz w:val="28"/>
          <w:szCs w:val="24"/>
        </w:rPr>
        <w:t>有以下情形的不得报名</w:t>
      </w:r>
    </w:p>
    <w:p w14:paraId="305F40EC">
      <w:pPr>
        <w:widowControl/>
        <w:shd w:val="clear" w:color="auto" w:fill="FFFFFF"/>
        <w:spacing w:line="420" w:lineRule="atLeast"/>
        <w:ind w:left="420" w:leftChars="200"/>
        <w:jc w:val="left"/>
        <w:rPr>
          <w:rFonts w:ascii="仿宋" w:hAnsi="仿宋" w:eastAsia="仿宋"/>
          <w:sz w:val="28"/>
          <w:szCs w:val="24"/>
        </w:rPr>
      </w:pPr>
      <w:r>
        <w:rPr>
          <w:rFonts w:hint="eastAsia" w:ascii="仿宋" w:hAnsi="仿宋" w:eastAsia="仿宋"/>
          <w:sz w:val="28"/>
          <w:szCs w:val="24"/>
        </w:rPr>
        <w:t>a</w:t>
      </w:r>
      <w:r>
        <w:rPr>
          <w:rFonts w:ascii="仿宋" w:hAnsi="仿宋" w:eastAsia="仿宋"/>
          <w:sz w:val="28"/>
          <w:szCs w:val="24"/>
        </w:rPr>
        <w:t>.</w:t>
      </w:r>
      <w:r>
        <w:rPr>
          <w:rFonts w:hint="eastAsia" w:ascii="仿宋" w:hAnsi="仿宋" w:eastAsia="仿宋"/>
          <w:sz w:val="28"/>
          <w:szCs w:val="24"/>
        </w:rPr>
        <w:t>处于被责令停业，财产被接管、冻结，破产状态；</w:t>
      </w:r>
      <w:r>
        <w:rPr>
          <w:rFonts w:hint="eastAsia" w:ascii="仿宋" w:hAnsi="仿宋" w:eastAsia="仿宋"/>
          <w:sz w:val="28"/>
          <w:szCs w:val="24"/>
        </w:rPr>
        <w:br w:type="textWrapping"/>
      </w:r>
      <w:r>
        <w:rPr>
          <w:rFonts w:hint="eastAsia" w:ascii="仿宋" w:hAnsi="仿宋" w:eastAsia="仿宋"/>
          <w:sz w:val="28"/>
          <w:szCs w:val="24"/>
        </w:rPr>
        <w:t>b</w:t>
      </w:r>
      <w:r>
        <w:rPr>
          <w:rFonts w:ascii="仿宋" w:hAnsi="仿宋" w:eastAsia="仿宋"/>
          <w:sz w:val="28"/>
          <w:szCs w:val="24"/>
        </w:rPr>
        <w:t>.</w:t>
      </w:r>
      <w:r>
        <w:rPr>
          <w:rFonts w:hint="eastAsia" w:ascii="仿宋" w:hAnsi="仿宋" w:eastAsia="仿宋"/>
          <w:sz w:val="28"/>
          <w:szCs w:val="24"/>
        </w:rPr>
        <w:t>经营活动中曾出现严重违约、重大诉讼事项等违法失信记录，被"国家企业信用信息公示系统""中国执行信息公开网""中国裁判文书网"“信用中国”等平台列入执行行贿人“黑名单”、失信被执行人、失信企业名单、违法诉讼等情形；</w:t>
      </w:r>
    </w:p>
    <w:p w14:paraId="278CA17D">
      <w:pPr>
        <w:widowControl/>
        <w:shd w:val="clear" w:color="auto" w:fill="FFFFFF"/>
        <w:spacing w:line="420" w:lineRule="atLeast"/>
        <w:ind w:left="420" w:leftChars="200"/>
        <w:jc w:val="left"/>
        <w:rPr>
          <w:rFonts w:ascii="仿宋" w:hAnsi="仿宋" w:eastAsia="仿宋"/>
          <w:sz w:val="28"/>
          <w:szCs w:val="24"/>
        </w:rPr>
      </w:pPr>
      <w:r>
        <w:rPr>
          <w:rFonts w:hint="eastAsia" w:ascii="仿宋" w:hAnsi="仿宋" w:eastAsia="仿宋"/>
          <w:sz w:val="28"/>
          <w:szCs w:val="24"/>
        </w:rPr>
        <w:t>c.</w:t>
      </w:r>
      <w:r>
        <w:rPr>
          <w:rFonts w:hint="eastAsia"/>
        </w:rPr>
        <w:t xml:space="preserve"> </w:t>
      </w:r>
      <w:r>
        <w:rPr>
          <w:rFonts w:hint="eastAsia" w:ascii="仿宋" w:hAnsi="仿宋" w:eastAsia="仿宋"/>
          <w:sz w:val="28"/>
          <w:szCs w:val="24"/>
        </w:rPr>
        <w:t>单位负责人为同一人或者存在控股、管理关系的不同单位，不得同时参加本项目报价。</w:t>
      </w:r>
    </w:p>
    <w:p w14:paraId="0E0421D4">
      <w:pPr>
        <w:widowControl/>
        <w:shd w:val="clear" w:color="auto" w:fill="FFFFFF"/>
        <w:spacing w:line="420" w:lineRule="atLeast"/>
        <w:ind w:left="420" w:leftChars="200"/>
        <w:jc w:val="left"/>
        <w:rPr>
          <w:rFonts w:ascii="仿宋" w:hAnsi="仿宋" w:eastAsia="仿宋"/>
          <w:sz w:val="28"/>
          <w:szCs w:val="24"/>
        </w:rPr>
      </w:pPr>
      <w:r>
        <w:rPr>
          <w:rFonts w:hint="eastAsia" w:ascii="仿宋" w:hAnsi="仿宋" w:eastAsia="仿宋"/>
          <w:sz w:val="28"/>
          <w:szCs w:val="24"/>
        </w:rPr>
        <w:t>d.</w:t>
      </w:r>
      <w:r>
        <w:rPr>
          <w:rFonts w:hint="eastAsia"/>
        </w:rPr>
        <w:t xml:space="preserve"> </w:t>
      </w:r>
      <w:r>
        <w:rPr>
          <w:rFonts w:hint="eastAsia" w:ascii="仿宋" w:hAnsi="仿宋" w:eastAsia="仿宋"/>
          <w:sz w:val="28"/>
          <w:szCs w:val="24"/>
        </w:rPr>
        <w:t>列入华润集团黑名单的及在黑名单禁止合作期内其法定代表人再注册的公司，不得继续参与报名和其他采购活动，不得新签署合同。</w:t>
      </w:r>
    </w:p>
    <w:p w14:paraId="1428E7C1">
      <w:pPr>
        <w:widowControl/>
        <w:shd w:val="clear" w:color="auto" w:fill="FFFFFF"/>
        <w:spacing w:line="420" w:lineRule="atLeast"/>
        <w:ind w:left="720" w:hanging="720"/>
        <w:jc w:val="left"/>
        <w:rPr>
          <w:rFonts w:ascii="仿宋" w:hAnsi="仿宋" w:eastAsia="仿宋"/>
          <w:sz w:val="28"/>
          <w:szCs w:val="24"/>
        </w:rPr>
      </w:pPr>
      <w:bookmarkStart w:id="13" w:name="OLE_LINK3"/>
      <w:r>
        <w:rPr>
          <w:rFonts w:hint="eastAsia" w:ascii="仿宋" w:hAnsi="仿宋" w:eastAsia="仿宋"/>
          <w:sz w:val="28"/>
          <w:szCs w:val="24"/>
        </w:rPr>
        <w:t>三、</w:t>
      </w:r>
      <w:bookmarkEnd w:id="13"/>
      <w:r>
        <w:rPr>
          <w:rFonts w:hint="eastAsia" w:ascii="仿宋" w:hAnsi="仿宋" w:eastAsia="仿宋"/>
          <w:sz w:val="28"/>
          <w:szCs w:val="24"/>
        </w:rPr>
        <w:t>合格供应商入库流程</w:t>
      </w:r>
      <w:r>
        <w:rPr>
          <w:rFonts w:ascii="Calibri" w:hAnsi="Calibri" w:eastAsia="仿宋" w:cs="Calibri"/>
          <w:sz w:val="28"/>
          <w:szCs w:val="24"/>
        </w:rPr>
        <w:t> </w:t>
      </w:r>
      <w:r>
        <w:rPr>
          <w:rFonts w:hint="eastAsia" w:ascii="仿宋" w:hAnsi="仿宋" w:eastAsia="仿宋"/>
          <w:sz w:val="28"/>
          <w:szCs w:val="24"/>
        </w:rPr>
        <w:t xml:space="preserve"> </w:t>
      </w:r>
      <w:r>
        <w:rPr>
          <w:rFonts w:hint="eastAsia" w:ascii="微软雅黑" w:hAnsi="微软雅黑" w:eastAsia="微软雅黑"/>
          <w:color w:val="333333"/>
        </w:rPr>
        <w:br w:type="textWrapping"/>
      </w:r>
      <w:r>
        <w:rPr>
          <w:rFonts w:hint="eastAsia" w:ascii="仿宋" w:hAnsi="仿宋" w:eastAsia="仿宋"/>
          <w:sz w:val="28"/>
          <w:szCs w:val="24"/>
        </w:rPr>
        <w:t>1、所有符合入库标准的供应商库均可申请入库，审核通过后将纳入我司合格供应商库，方可参与具体采购项目。</w:t>
      </w:r>
    </w:p>
    <w:p w14:paraId="7E8F2969">
      <w:pPr>
        <w:widowControl/>
        <w:shd w:val="clear" w:color="auto" w:fill="FFFFFF"/>
        <w:spacing w:line="420" w:lineRule="atLeast"/>
        <w:ind w:left="210" w:leftChars="100" w:firstLine="560" w:firstLineChars="200"/>
        <w:jc w:val="left"/>
        <w:rPr>
          <w:rFonts w:ascii="仿宋" w:hAnsi="仿宋" w:eastAsia="仿宋"/>
          <w:sz w:val="28"/>
          <w:szCs w:val="24"/>
        </w:rPr>
      </w:pPr>
      <w:r>
        <w:rPr>
          <w:rFonts w:hint="eastAsia" w:ascii="仿宋" w:hAnsi="仿宋" w:eastAsia="仿宋"/>
          <w:sz w:val="28"/>
          <w:szCs w:val="24"/>
        </w:rPr>
        <w:t>2、入库流程：公开征集→供应商递交资料→组织方线上资质认证审核→供应商现场认证审核（按需）→供应商进入合格供应商库→参与采购项目。</w:t>
      </w:r>
    </w:p>
    <w:p w14:paraId="5534B042">
      <w:pPr>
        <w:widowControl/>
        <w:shd w:val="clear" w:color="auto" w:fill="FFFFFF"/>
        <w:spacing w:line="420" w:lineRule="atLeast"/>
        <w:ind w:left="720" w:hanging="720"/>
        <w:jc w:val="left"/>
        <w:rPr>
          <w:rFonts w:ascii="仿宋" w:hAnsi="仿宋" w:eastAsia="仿宋"/>
          <w:sz w:val="28"/>
          <w:szCs w:val="24"/>
        </w:rPr>
      </w:pPr>
      <w:r>
        <w:rPr>
          <w:rFonts w:hint="eastAsia" w:ascii="仿宋" w:hAnsi="仿宋" w:eastAsia="仿宋"/>
          <w:sz w:val="28"/>
          <w:szCs w:val="24"/>
        </w:rPr>
        <w:t>四、资格审查申请文件递交方式及要求</w:t>
      </w:r>
    </w:p>
    <w:p w14:paraId="615AAB6B">
      <w:pPr>
        <w:widowControl/>
        <w:shd w:val="clear" w:color="auto" w:fill="FFFFFF"/>
        <w:spacing w:line="420" w:lineRule="atLeast"/>
        <w:ind w:left="720" w:hanging="720"/>
        <w:jc w:val="left"/>
        <w:rPr>
          <w:rFonts w:ascii="仿宋" w:hAnsi="仿宋" w:eastAsia="仿宋"/>
          <w:sz w:val="28"/>
          <w:szCs w:val="24"/>
        </w:rPr>
      </w:pPr>
      <w:r>
        <w:rPr>
          <w:rFonts w:hint="eastAsia" w:ascii="仿宋" w:hAnsi="仿宋" w:eastAsia="仿宋"/>
          <w:sz w:val="28"/>
          <w:szCs w:val="24"/>
        </w:rPr>
        <w:t>（一）申请</w:t>
      </w:r>
      <w:r>
        <w:rPr>
          <w:rFonts w:ascii="仿宋" w:hAnsi="仿宋" w:eastAsia="仿宋"/>
          <w:sz w:val="28"/>
          <w:szCs w:val="24"/>
        </w:rPr>
        <w:t>企业</w:t>
      </w:r>
      <w:r>
        <w:rPr>
          <w:rFonts w:hint="eastAsia" w:ascii="仿宋" w:hAnsi="仿宋" w:eastAsia="仿宋"/>
          <w:sz w:val="28"/>
          <w:szCs w:val="24"/>
        </w:rPr>
        <w:t>应先在华润守正电子招标平台（http://szecp.crc.com.cn）完成注册；</w:t>
      </w:r>
    </w:p>
    <w:p w14:paraId="6E6F00BC">
      <w:pPr>
        <w:widowControl/>
        <w:shd w:val="clear" w:color="auto" w:fill="FFFFFF"/>
        <w:spacing w:line="420" w:lineRule="atLeast"/>
        <w:rPr>
          <w:rFonts w:ascii="仿宋" w:hAnsi="仿宋" w:eastAsia="仿宋"/>
          <w:color w:val="000000" w:themeColor="text1"/>
          <w:sz w:val="28"/>
          <w:szCs w:val="24"/>
          <w14:textFill>
            <w14:solidFill>
              <w14:schemeClr w14:val="tx1"/>
            </w14:solidFill>
          </w14:textFill>
        </w:rPr>
      </w:pPr>
      <w:r>
        <w:rPr>
          <w:rFonts w:hint="eastAsia" w:ascii="仿宋" w:hAnsi="仿宋" w:eastAsia="仿宋"/>
          <w:sz w:val="28"/>
          <w:szCs w:val="24"/>
        </w:rPr>
        <w:t>（二）资格审查申请文件递交时间为自公告之日起</w:t>
      </w:r>
      <w:r>
        <w:rPr>
          <w:rFonts w:hint="eastAsia" w:ascii="仿宋" w:hAnsi="仿宋" w:eastAsia="仿宋"/>
          <w:color w:val="000000" w:themeColor="text1"/>
          <w:sz w:val="28"/>
          <w:szCs w:val="24"/>
          <w14:textFill>
            <w14:solidFill>
              <w14:schemeClr w14:val="tx1"/>
            </w14:solidFill>
          </w14:textFill>
        </w:rPr>
        <w:t>至2025年11月25日1</w:t>
      </w:r>
      <w:r>
        <w:rPr>
          <w:rFonts w:ascii="仿宋" w:hAnsi="仿宋" w:eastAsia="仿宋"/>
          <w:color w:val="000000" w:themeColor="text1"/>
          <w:sz w:val="28"/>
          <w:szCs w:val="24"/>
          <w14:textFill>
            <w14:solidFill>
              <w14:schemeClr w14:val="tx1"/>
            </w14:solidFill>
          </w14:textFill>
        </w:rPr>
        <w:t>2</w:t>
      </w:r>
      <w:r>
        <w:rPr>
          <w:rFonts w:hint="eastAsia" w:ascii="仿宋" w:hAnsi="仿宋" w:eastAsia="仿宋"/>
          <w:color w:val="000000" w:themeColor="text1"/>
          <w:sz w:val="28"/>
          <w:szCs w:val="24"/>
          <w14:textFill>
            <w14:solidFill>
              <w14:schemeClr w14:val="tx1"/>
            </w14:solidFill>
          </w14:textFill>
        </w:rPr>
        <w:t>:</w:t>
      </w:r>
      <w:r>
        <w:rPr>
          <w:rFonts w:ascii="仿宋" w:hAnsi="仿宋" w:eastAsia="仿宋"/>
          <w:color w:val="000000" w:themeColor="text1"/>
          <w:sz w:val="28"/>
          <w:szCs w:val="24"/>
          <w14:textFill>
            <w14:solidFill>
              <w14:schemeClr w14:val="tx1"/>
            </w14:solidFill>
          </w14:textFill>
        </w:rPr>
        <w:t>0</w:t>
      </w:r>
      <w:r>
        <w:rPr>
          <w:rFonts w:hint="eastAsia" w:ascii="仿宋" w:hAnsi="仿宋" w:eastAsia="仿宋"/>
          <w:color w:val="000000" w:themeColor="text1"/>
          <w:sz w:val="28"/>
          <w:szCs w:val="24"/>
          <w14:textFill>
            <w14:solidFill>
              <w14:schemeClr w14:val="tx1"/>
            </w14:solidFill>
          </w14:textFill>
        </w:rPr>
        <w:t>0截止，投递资料截止时间以邮箱系统时间为准。</w:t>
      </w:r>
    </w:p>
    <w:p w14:paraId="337C1679">
      <w:pPr>
        <w:widowControl/>
        <w:shd w:val="clear" w:color="auto" w:fill="FFFFFF"/>
        <w:spacing w:line="420" w:lineRule="atLeast"/>
        <w:rPr>
          <w:rFonts w:ascii="仿宋" w:hAnsi="仿宋" w:eastAsia="仿宋"/>
          <w:color w:val="000000" w:themeColor="text1"/>
          <w:sz w:val="28"/>
          <w:szCs w:val="28"/>
          <w14:textFill>
            <w14:solidFill>
              <w14:schemeClr w14:val="tx1"/>
            </w14:solidFill>
          </w14:textFill>
        </w:rPr>
      </w:pPr>
      <w:r>
        <w:rPr>
          <w:rFonts w:hint="eastAsia" w:ascii="仿宋" w:hAnsi="仿宋" w:eastAsia="仿宋"/>
          <w:sz w:val="28"/>
          <w:szCs w:val="24"/>
        </w:rPr>
        <w:t>（三） 线上递交：申请人按照附件要求将申请文件电子版提交至邮箱</w:t>
      </w:r>
      <w:r>
        <w:rPr>
          <w:rFonts w:hint="eastAsia" w:ascii="仿宋" w:hAnsi="仿宋" w:eastAsia="仿宋"/>
          <w:color w:val="000000" w:themeColor="text1"/>
          <w:sz w:val="28"/>
          <w:szCs w:val="28"/>
          <w14:textFill>
            <w14:solidFill>
              <w14:schemeClr w14:val="tx1"/>
            </w14:solidFill>
          </w14:textFill>
        </w:rPr>
        <w:t>（填写</w:t>
      </w:r>
      <w:r>
        <w:rPr>
          <w:rStyle w:val="10"/>
          <w:rFonts w:hint="eastAsia" w:ascii="仿宋" w:hAnsi="仿宋" w:eastAsia="仿宋"/>
          <w:sz w:val="24"/>
          <w:szCs w:val="24"/>
        </w:rPr>
        <w:t>hebo73</w:t>
      </w:r>
      <w:r>
        <w:rPr>
          <w:rStyle w:val="10"/>
          <w:rFonts w:ascii="仿宋" w:hAnsi="仿宋" w:eastAsia="仿宋"/>
          <w:sz w:val="24"/>
          <w:szCs w:val="24"/>
        </w:rPr>
        <w:t>@taslypharma.com</w:t>
      </w:r>
      <w:r>
        <w:rPr>
          <w:rFonts w:hint="eastAsia" w:ascii="仿宋" w:hAnsi="仿宋" w:eastAsia="仿宋"/>
          <w:color w:val="000000" w:themeColor="text1"/>
          <w:sz w:val="28"/>
          <w:szCs w:val="28"/>
          <w14:textFill>
            <w14:solidFill>
              <w14:schemeClr w14:val="tx1"/>
            </w14:solidFill>
          </w14:textFill>
        </w:rPr>
        <w:t>邮箱）。资格审查顺序依据报名顺序开展。</w:t>
      </w:r>
    </w:p>
    <w:p w14:paraId="5E8089F7">
      <w:pPr>
        <w:widowControl/>
        <w:shd w:val="clear" w:color="auto" w:fill="FFFFFF"/>
        <w:spacing w:line="360" w:lineRule="auto"/>
        <w:rPr>
          <w:rFonts w:ascii="仿宋" w:hAnsi="仿宋" w:eastAsia="仿宋"/>
          <w:color w:val="333333"/>
          <w:sz w:val="28"/>
          <w:szCs w:val="28"/>
        </w:rPr>
      </w:pPr>
      <w:r>
        <w:rPr>
          <w:rFonts w:ascii="仿宋" w:hAnsi="仿宋" w:eastAsia="仿宋"/>
          <w:color w:val="333333"/>
          <w:sz w:val="28"/>
          <w:szCs w:val="28"/>
        </w:rPr>
        <w:t>（四）</w:t>
      </w:r>
      <w:r>
        <w:rPr>
          <w:rFonts w:hint="eastAsia" w:ascii="仿宋" w:hAnsi="仿宋" w:eastAsia="仿宋"/>
          <w:sz w:val="28"/>
          <w:szCs w:val="24"/>
        </w:rPr>
        <w:t>邮件标题：</w:t>
      </w:r>
      <w:r>
        <w:rPr>
          <w:rFonts w:hint="eastAsia" w:ascii="仿宋" w:hAnsi="仿宋" w:eastAsia="仿宋"/>
          <w:color w:val="333333"/>
          <w:sz w:val="28"/>
          <w:szCs w:val="28"/>
        </w:rPr>
        <w:t>例：</w:t>
      </w:r>
      <w:bookmarkStart w:id="14" w:name="OLE_LINK7"/>
      <w:r>
        <w:rPr>
          <w:rFonts w:hint="eastAsia" w:ascii="仿宋" w:hAnsi="仿宋" w:eastAsia="仿宋"/>
          <w:color w:val="333333"/>
          <w:sz w:val="28"/>
          <w:szCs w:val="28"/>
        </w:rPr>
        <w:t>陕西天士力植物药业+药材运输服务+投递日期（如20251201）</w:t>
      </w:r>
      <w:bookmarkEnd w:id="14"/>
      <w:r>
        <w:rPr>
          <w:rFonts w:hint="eastAsia" w:ascii="仿宋" w:hAnsi="仿宋" w:eastAsia="仿宋"/>
          <w:color w:val="333333"/>
          <w:sz w:val="28"/>
          <w:szCs w:val="28"/>
        </w:rPr>
        <w:t>。</w:t>
      </w:r>
    </w:p>
    <w:p w14:paraId="7DD34163">
      <w:pPr>
        <w:widowControl/>
        <w:shd w:val="clear" w:color="auto" w:fill="FFFFFF"/>
        <w:spacing w:line="420" w:lineRule="atLeast"/>
        <w:rPr>
          <w:rFonts w:ascii="仿宋" w:hAnsi="仿宋" w:eastAsia="仿宋"/>
          <w:sz w:val="28"/>
          <w:szCs w:val="24"/>
        </w:rPr>
      </w:pPr>
      <w:r>
        <w:rPr>
          <w:rFonts w:hint="eastAsia" w:ascii="仿宋" w:hAnsi="仿宋" w:eastAsia="仿宋"/>
          <w:sz w:val="28"/>
          <w:szCs w:val="24"/>
        </w:rPr>
        <w:t>（五）未按规定时间、规定格式递交的申请文件本次征集将不予受理。</w:t>
      </w:r>
    </w:p>
    <w:p w14:paraId="2C806861">
      <w:pPr>
        <w:widowControl/>
        <w:shd w:val="clear" w:color="auto" w:fill="FFFFFF"/>
        <w:spacing w:line="420" w:lineRule="atLeast"/>
        <w:rPr>
          <w:rFonts w:ascii="仿宋" w:hAnsi="仿宋" w:eastAsia="仿宋"/>
          <w:sz w:val="28"/>
          <w:szCs w:val="24"/>
        </w:rPr>
      </w:pPr>
      <w:r>
        <w:rPr>
          <w:rFonts w:hint="eastAsia" w:ascii="仿宋" w:hAnsi="仿宋" w:eastAsia="仿宋"/>
          <w:sz w:val="28"/>
          <w:szCs w:val="24"/>
        </w:rPr>
        <w:t>（六）资格审查申请文件格式和内容：申请人应根据资格要求逐项提供证明资料（并加盖公章）。提供伪造、虚假资料、证件供应商，将取消参加供应商入库资格；即使入库，发现提供材料与实际不符，我司有权终止合作并将供应商剔除出目录库，并追究相应法律责任和经济责任。</w:t>
      </w:r>
      <w:r>
        <w:rPr>
          <w:rFonts w:hint="eastAsia" w:ascii="微软雅黑" w:hAnsi="微软雅黑" w:eastAsia="微软雅黑"/>
          <w:color w:val="333333"/>
        </w:rPr>
        <w:br w:type="textWrapping"/>
      </w:r>
      <w:r>
        <w:rPr>
          <w:rFonts w:hint="eastAsia" w:ascii="仿宋" w:hAnsi="仿宋" w:eastAsia="仿宋"/>
          <w:sz w:val="28"/>
          <w:szCs w:val="24"/>
        </w:rPr>
        <w:t>五、咨询</w:t>
      </w:r>
    </w:p>
    <w:p w14:paraId="55311CFD">
      <w:pPr>
        <w:rPr>
          <w:rFonts w:ascii="仿宋" w:hAnsi="仿宋" w:eastAsia="仿宋"/>
          <w:sz w:val="28"/>
          <w:szCs w:val="24"/>
        </w:rPr>
      </w:pPr>
      <w:r>
        <w:rPr>
          <w:rFonts w:hint="eastAsia" w:ascii="仿宋" w:hAnsi="仿宋" w:eastAsia="仿宋"/>
          <w:sz w:val="28"/>
          <w:szCs w:val="24"/>
        </w:rPr>
        <w:t>1</w:t>
      </w:r>
      <w:r>
        <w:rPr>
          <w:rFonts w:ascii="仿宋" w:hAnsi="仿宋" w:eastAsia="仿宋"/>
          <w:sz w:val="28"/>
          <w:szCs w:val="24"/>
        </w:rPr>
        <w:t>.</w:t>
      </w:r>
      <w:r>
        <w:rPr>
          <w:rFonts w:hint="eastAsia" w:ascii="仿宋" w:hAnsi="仿宋" w:eastAsia="仿宋"/>
          <w:sz w:val="28"/>
          <w:szCs w:val="24"/>
        </w:rPr>
        <w:t>若对平台操作有疑问，请联系平台客服，联系方式见平台官网首页，电话：0755-36994788；</w:t>
      </w:r>
    </w:p>
    <w:p w14:paraId="2A5E2528">
      <w:pPr>
        <w:rPr>
          <w:rFonts w:ascii="仿宋" w:hAnsi="仿宋" w:eastAsia="仿宋"/>
          <w:color w:val="000000" w:themeColor="text1"/>
          <w:sz w:val="28"/>
          <w:szCs w:val="24"/>
          <w14:textFill>
            <w14:solidFill>
              <w14:schemeClr w14:val="tx1"/>
            </w14:solidFill>
          </w14:textFill>
        </w:rPr>
      </w:pPr>
      <w:r>
        <w:rPr>
          <w:rFonts w:ascii="仿宋" w:hAnsi="仿宋" w:eastAsia="仿宋"/>
          <w:sz w:val="28"/>
          <w:szCs w:val="24"/>
        </w:rPr>
        <w:t>2.</w:t>
      </w:r>
      <w:r>
        <w:rPr>
          <w:rFonts w:hint="eastAsia" w:ascii="仿宋" w:hAnsi="仿宋" w:eastAsia="仿宋"/>
          <w:sz w:val="28"/>
          <w:szCs w:val="24"/>
        </w:rPr>
        <w:t>若对征集项目内容有疑问，请按以下方式咨询，</w:t>
      </w:r>
      <w:r>
        <w:rPr>
          <w:rFonts w:hint="eastAsia" w:ascii="仿宋" w:hAnsi="仿宋" w:eastAsia="仿宋"/>
          <w:color w:val="000000" w:themeColor="text1"/>
          <w:sz w:val="28"/>
          <w:szCs w:val="24"/>
          <w14:textFill>
            <w14:solidFill>
              <w14:schemeClr w14:val="tx1"/>
            </w14:solidFill>
          </w14:textFill>
        </w:rPr>
        <w:t>电话：0914-8068866</w:t>
      </w:r>
    </w:p>
    <w:p w14:paraId="12736023">
      <w:pPr>
        <w:rPr>
          <w:rFonts w:ascii="仿宋" w:hAnsi="仿宋" w:eastAsia="仿宋"/>
          <w:sz w:val="28"/>
          <w:szCs w:val="24"/>
        </w:rPr>
      </w:pPr>
      <w:r>
        <w:rPr>
          <w:rFonts w:hint="eastAsia" w:ascii="仿宋" w:hAnsi="仿宋" w:eastAsia="仿宋"/>
          <w:sz w:val="28"/>
          <w:szCs w:val="24"/>
        </w:rPr>
        <w:t>六、其他说明：</w:t>
      </w:r>
    </w:p>
    <w:p w14:paraId="6F3BCCDE">
      <w:pPr>
        <w:rPr>
          <w:rFonts w:ascii="仿宋" w:hAnsi="仿宋" w:eastAsia="仿宋"/>
          <w:sz w:val="28"/>
          <w:szCs w:val="24"/>
        </w:rPr>
      </w:pPr>
      <w:r>
        <w:rPr>
          <w:rFonts w:hint="eastAsia" w:ascii="仿宋" w:hAnsi="仿宋" w:eastAsia="仿宋"/>
          <w:sz w:val="28"/>
          <w:szCs w:val="24"/>
        </w:rPr>
        <w:t>1.逾期未送达的资料，采购单位有权不予受理。</w:t>
      </w:r>
    </w:p>
    <w:p w14:paraId="642F5CA7">
      <w:pPr>
        <w:rPr>
          <w:rFonts w:ascii="仿宋" w:hAnsi="仿宋" w:eastAsia="仿宋"/>
          <w:sz w:val="28"/>
          <w:szCs w:val="24"/>
        </w:rPr>
      </w:pPr>
      <w:r>
        <w:rPr>
          <w:rFonts w:hint="eastAsia" w:ascii="仿宋" w:hAnsi="仿宋" w:eastAsia="仿宋"/>
          <w:sz w:val="28"/>
          <w:szCs w:val="24"/>
        </w:rPr>
        <w:t>2.报名单位在提交报名资料后及时与征集单位联系人进行确认，因技术原因（包含不限于网络故障、邮箱容量限制、病毒安全防控等）等非主观因素，致使征集人没有及时收到相关报名资料，征集人不承担任何责任。</w:t>
      </w:r>
    </w:p>
    <w:p w14:paraId="08026430">
      <w:pPr>
        <w:rPr>
          <w:rFonts w:ascii="仿宋" w:hAnsi="仿宋" w:eastAsia="仿宋"/>
          <w:sz w:val="28"/>
          <w:szCs w:val="24"/>
        </w:rPr>
      </w:pPr>
    </w:p>
    <w:p w14:paraId="5ECA4008">
      <w:pPr>
        <w:rPr>
          <w:rFonts w:ascii="仿宋" w:hAnsi="仿宋" w:eastAsia="仿宋"/>
          <w:sz w:val="28"/>
          <w:szCs w:val="24"/>
        </w:rPr>
      </w:pPr>
      <w:r>
        <w:rPr>
          <w:rFonts w:ascii="仿宋" w:hAnsi="仿宋" w:eastAsia="仿宋"/>
          <w:sz w:val="28"/>
          <w:szCs w:val="24"/>
        </w:rPr>
        <w:t>附件：</w:t>
      </w:r>
    </w:p>
    <w:p w14:paraId="10074E66">
      <w:pPr>
        <w:rPr>
          <w:rFonts w:ascii="仿宋" w:hAnsi="仿宋" w:eastAsia="仿宋"/>
          <w:sz w:val="28"/>
          <w:szCs w:val="24"/>
        </w:rPr>
      </w:pPr>
      <w:r>
        <w:rPr>
          <w:rFonts w:hint="eastAsia" w:ascii="仿宋" w:hAnsi="仿宋" w:eastAsia="仿宋"/>
          <w:sz w:val="28"/>
          <w:szCs w:val="24"/>
        </w:rPr>
        <w:t>1</w:t>
      </w:r>
      <w:r>
        <w:rPr>
          <w:rFonts w:ascii="仿宋" w:hAnsi="仿宋" w:eastAsia="仿宋"/>
          <w:sz w:val="28"/>
          <w:szCs w:val="24"/>
        </w:rPr>
        <w:t>.</w:t>
      </w:r>
      <w:r>
        <w:rPr>
          <w:rFonts w:hint="eastAsia" w:ascii="仿宋" w:hAnsi="仿宋" w:eastAsia="仿宋"/>
          <w:sz w:val="28"/>
          <w:szCs w:val="24"/>
        </w:rPr>
        <w:t>供应商入库资格要求与需提交资料清单</w:t>
      </w:r>
    </w:p>
    <w:p w14:paraId="46C6EB6F">
      <w:pPr>
        <w:rPr>
          <w:rFonts w:ascii="仿宋" w:hAnsi="仿宋" w:eastAsia="仿宋"/>
          <w:color w:val="000000" w:themeColor="text1"/>
          <w:sz w:val="28"/>
          <w:szCs w:val="24"/>
          <w14:textFill>
            <w14:solidFill>
              <w14:schemeClr w14:val="tx1"/>
            </w14:solidFill>
          </w14:textFill>
        </w:rPr>
      </w:pPr>
      <w:r>
        <w:rPr>
          <w:rFonts w:ascii="仿宋" w:hAnsi="仿宋" w:eastAsia="仿宋"/>
          <w:color w:val="000000" w:themeColor="text1"/>
          <w:sz w:val="28"/>
          <w:szCs w:val="24"/>
          <w14:textFill>
            <w14:solidFill>
              <w14:schemeClr w14:val="tx1"/>
            </w14:solidFill>
          </w14:textFill>
        </w:rPr>
        <w:t>2.供应商基本情况调查表</w:t>
      </w:r>
    </w:p>
    <w:sectPr>
      <w:pgSz w:w="11906" w:h="16838"/>
      <w:pgMar w:top="1440" w:right="1133"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8E5C28"/>
    <w:multiLevelType w:val="multilevel"/>
    <w:tmpl w:val="4B8E5C28"/>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EFC"/>
    <w:rsid w:val="00002303"/>
    <w:rsid w:val="00003BBD"/>
    <w:rsid w:val="00007E47"/>
    <w:rsid w:val="000112ED"/>
    <w:rsid w:val="00076CA7"/>
    <w:rsid w:val="000A6180"/>
    <w:rsid w:val="000C78FD"/>
    <w:rsid w:val="000E2555"/>
    <w:rsid w:val="00103965"/>
    <w:rsid w:val="001A7A70"/>
    <w:rsid w:val="001E7901"/>
    <w:rsid w:val="0020509B"/>
    <w:rsid w:val="00215288"/>
    <w:rsid w:val="00230BCE"/>
    <w:rsid w:val="00236A1C"/>
    <w:rsid w:val="0025273E"/>
    <w:rsid w:val="00253175"/>
    <w:rsid w:val="00291AD4"/>
    <w:rsid w:val="002B60BC"/>
    <w:rsid w:val="00335D06"/>
    <w:rsid w:val="00356B98"/>
    <w:rsid w:val="00375760"/>
    <w:rsid w:val="003B2284"/>
    <w:rsid w:val="003D5F31"/>
    <w:rsid w:val="003F7343"/>
    <w:rsid w:val="00421505"/>
    <w:rsid w:val="00435B9D"/>
    <w:rsid w:val="00450B4D"/>
    <w:rsid w:val="00453C83"/>
    <w:rsid w:val="004E00EC"/>
    <w:rsid w:val="00555178"/>
    <w:rsid w:val="005577CB"/>
    <w:rsid w:val="00570596"/>
    <w:rsid w:val="00584D01"/>
    <w:rsid w:val="00590945"/>
    <w:rsid w:val="005D534C"/>
    <w:rsid w:val="00681EE8"/>
    <w:rsid w:val="007039AA"/>
    <w:rsid w:val="00742FBD"/>
    <w:rsid w:val="00784917"/>
    <w:rsid w:val="00787DBE"/>
    <w:rsid w:val="00833518"/>
    <w:rsid w:val="00895D2C"/>
    <w:rsid w:val="008E1A14"/>
    <w:rsid w:val="008F55EA"/>
    <w:rsid w:val="00966BE7"/>
    <w:rsid w:val="009C2484"/>
    <w:rsid w:val="00A10888"/>
    <w:rsid w:val="00A23EFC"/>
    <w:rsid w:val="00A25B72"/>
    <w:rsid w:val="00B6268B"/>
    <w:rsid w:val="00B737B7"/>
    <w:rsid w:val="00BA799F"/>
    <w:rsid w:val="00BB7D94"/>
    <w:rsid w:val="00BD5DE6"/>
    <w:rsid w:val="00BE1F4F"/>
    <w:rsid w:val="00BF791B"/>
    <w:rsid w:val="00C12CD3"/>
    <w:rsid w:val="00C40404"/>
    <w:rsid w:val="00C67E54"/>
    <w:rsid w:val="00C777DB"/>
    <w:rsid w:val="00CF1D45"/>
    <w:rsid w:val="00D0568E"/>
    <w:rsid w:val="00D458BB"/>
    <w:rsid w:val="00D458DE"/>
    <w:rsid w:val="00E070D2"/>
    <w:rsid w:val="00E50932"/>
    <w:rsid w:val="00E759FB"/>
    <w:rsid w:val="00EF2872"/>
    <w:rsid w:val="00F54FB5"/>
    <w:rsid w:val="00F61B1D"/>
    <w:rsid w:val="00FD3AF2"/>
    <w:rsid w:val="09316EA5"/>
    <w:rsid w:val="3EE21FAA"/>
    <w:rsid w:val="79E33C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character" w:customStyle="1" w:styleId="14">
    <w:name w:val="批注文字 Char"/>
    <w:basedOn w:val="9"/>
    <w:link w:val="2"/>
    <w:semiHidden/>
    <w:qFormat/>
    <w:uiPriority w:val="99"/>
  </w:style>
  <w:style w:type="character" w:customStyle="1" w:styleId="15">
    <w:name w:val="批注主题 Char"/>
    <w:basedOn w:val="14"/>
    <w:link w:val="6"/>
    <w:semiHidden/>
    <w:qFormat/>
    <w:uiPriority w:val="99"/>
    <w:rPr>
      <w:b/>
      <w:bCs/>
    </w:rPr>
  </w:style>
  <w:style w:type="character" w:customStyle="1" w:styleId="16">
    <w:name w:val="批注框文本 Char"/>
    <w:basedOn w:val="9"/>
    <w:link w:val="3"/>
    <w:semiHidden/>
    <w:qFormat/>
    <w:uiPriority w:val="99"/>
    <w:rPr>
      <w:sz w:val="18"/>
      <w:szCs w:val="18"/>
    </w:rPr>
  </w:style>
  <w:style w:type="paragraph" w:styleId="17">
    <w:name w:val="List Paragraph"/>
    <w:basedOn w:val="1"/>
    <w:unhideWhenUsed/>
    <w:qFormat/>
    <w:uiPriority w:val="99"/>
    <w:pPr>
      <w:ind w:firstLine="420" w:firstLineChars="200"/>
    </w:pPr>
  </w:style>
  <w:style w:type="character" w:customStyle="1" w:styleId="18">
    <w:name w:val="font01"/>
    <w:qFormat/>
    <w:uiPriority w:val="0"/>
    <w:rPr>
      <w:rFonts w:hint="eastAsia" w:ascii="宋体" w:hAnsi="宋体" w:eastAsia="宋体" w:cs="宋体"/>
      <w:color w:val="000000"/>
      <w:sz w:val="22"/>
      <w:szCs w:val="22"/>
      <w:u w:val="none"/>
    </w:rPr>
  </w:style>
  <w:style w:type="character" w:customStyle="1" w:styleId="19">
    <w:name w:val="font31"/>
    <w:uiPriority w:val="0"/>
    <w:rPr>
      <w:rFonts w:hint="default" w:ascii="Calibri" w:hAnsi="Calibri" w:cs="Calibri"/>
      <w:color w:val="000000"/>
      <w:sz w:val="22"/>
      <w:szCs w:val="22"/>
      <w:u w:val="none"/>
    </w:rPr>
  </w:style>
  <w:style w:type="character" w:customStyle="1" w:styleId="20">
    <w:name w:val="未处理的提及1"/>
    <w:basedOn w:val="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6315C-B8B7-4256-9D2B-05CC1073D02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1702</Words>
  <Characters>1822</Characters>
  <Lines>13</Lines>
  <Paragraphs>3</Paragraphs>
  <TotalTime>0</TotalTime>
  <ScaleCrop>false</ScaleCrop>
  <LinksUpToDate>false</LinksUpToDate>
  <CharactersWithSpaces>1827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2025-11-13T06:39:00Z</dcterms:created>
  <dc:creator>王茜</dc:creator>
  <cp:lastModifiedBy>闫润青</cp:lastModifiedBy>
  <dcterms:modified xsi:type="dcterms:W3CDTF">2025-11-14T09:37:06Z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eyJoZGlkIjoiZTg2YWJmNTJjODFkNDkyNGU5NTA1ZjQzM2I5MDYyOWEiLCJ1c2VySWQiOiI3ODEzODQwNTgifQ==</vt:lpwstr>
  </property>
  <property fmtid="{D5CDD505-2E9C-101B-9397-08002B2CF9AE}" pid="3" name="KSOProductBuildVer">
    <vt:lpwstr>2052-12.1.0.22529</vt:lpwstr>
  </property>
  <property fmtid="{D5CDD505-2E9C-101B-9397-08002B2CF9AE}" pid="4" name="ICV">
    <vt:lpwstr>D3E9B4A1D61B4597893670B46ECA055C_12</vt:lpwstr>
  </property>
</Properties>
</file>