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F4E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0"/>
        <w:jc w:val="both"/>
        <w:rPr>
          <w:rStyle w:val="5"/>
        </w:rPr>
      </w:pPr>
      <w:bookmarkStart w:id="35" w:name="_GoBack"/>
      <w:r>
        <w:rPr>
          <w:rStyle w:val="5"/>
          <w:rFonts w:hint="eastAsia"/>
        </w:rPr>
        <w:t>1. 采购条件</w:t>
      </w:r>
    </w:p>
    <w:p w14:paraId="05E4B3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480"/>
        <w:rPr>
          <w:rStyle w:val="5"/>
          <w:rFonts w:hint="eastAsia"/>
        </w:rPr>
      </w:pPr>
      <w:r>
        <w:rPr>
          <w:rStyle w:val="5"/>
          <w:rFonts w:hint="eastAsia"/>
        </w:rPr>
        <w:t>中化学（天津）新材料科技有限公司运输服务（采购项目编号：22402031HXCGFA251114001）建设资金已落实，项目所需运输服务（见第四章采购需求）已具备采购条件。采购人为中化学（天津）新材料科技有限公司，现进行谈判采购。</w:t>
      </w:r>
    </w:p>
    <w:p w14:paraId="0B2A40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00" w:beforeAutospacing="0" w:after="100" w:afterAutospacing="0"/>
        <w:ind w:left="210" w:right="0" w:firstLine="0"/>
        <w:jc w:val="both"/>
        <w:rPr>
          <w:rStyle w:val="5"/>
          <w:rFonts w:hint="eastAsia"/>
        </w:rPr>
      </w:pPr>
      <w:bookmarkStart w:id="0" w:name="_Toc89245367"/>
      <w:bookmarkEnd w:id="0"/>
      <w:bookmarkStart w:id="1" w:name="_Toc89174669"/>
      <w:bookmarkEnd w:id="1"/>
      <w:bookmarkStart w:id="2" w:name="_Toc25203"/>
      <w:bookmarkEnd w:id="2"/>
      <w:bookmarkStart w:id="3" w:name="_Toc89245662"/>
      <w:bookmarkEnd w:id="3"/>
      <w:r>
        <w:rPr>
          <w:rStyle w:val="5"/>
          <w:rFonts w:hint="default"/>
        </w:rPr>
        <w:t>2. </w:t>
      </w:r>
      <w:r>
        <w:rPr>
          <w:rStyle w:val="5"/>
          <w:rFonts w:hint="eastAsia"/>
        </w:rPr>
        <w:t>采购依据</w:t>
      </w:r>
    </w:p>
    <w:p w14:paraId="5D50F9E3">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420"/>
        <w:jc w:val="left"/>
        <w:rPr>
          <w:rStyle w:val="5"/>
          <w:rFonts w:hint="eastAsia"/>
        </w:rPr>
      </w:pPr>
      <w:r>
        <w:rPr>
          <w:rStyle w:val="5"/>
          <w:rFonts w:hint="eastAsia"/>
          <w:lang w:val="en-US" w:eastAsia="zh-CN"/>
        </w:rPr>
        <w:t>1.1《中华人民共和国政府采购法》(主席令第68号)；</w:t>
      </w:r>
    </w:p>
    <w:p w14:paraId="77C4E06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420"/>
        <w:jc w:val="left"/>
        <w:rPr>
          <w:rStyle w:val="5"/>
          <w:rFonts w:hint="eastAsia"/>
        </w:rPr>
      </w:pPr>
      <w:r>
        <w:rPr>
          <w:rStyle w:val="5"/>
          <w:rFonts w:hint="eastAsia"/>
          <w:lang w:val="en-US" w:eastAsia="zh-CN"/>
        </w:rPr>
        <w:t>1.2《中华人民共和国政府采购法实施条例》（国务院2015年658号令）；</w:t>
      </w:r>
    </w:p>
    <w:p w14:paraId="4B0B2AA9">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420"/>
        <w:jc w:val="left"/>
        <w:rPr>
          <w:rStyle w:val="5"/>
          <w:rFonts w:hint="eastAsia"/>
        </w:rPr>
      </w:pPr>
      <w:r>
        <w:rPr>
          <w:rStyle w:val="5"/>
          <w:rFonts w:hint="eastAsia"/>
          <w:lang w:val="en-US" w:eastAsia="zh-CN"/>
        </w:rPr>
        <w:t>1.3《评标委员会和评标方法暂行规定》（国家发展改革委等9部委2013年第23号令）；</w:t>
      </w:r>
    </w:p>
    <w:p w14:paraId="4DEC0956">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420"/>
        <w:jc w:val="left"/>
        <w:rPr>
          <w:rStyle w:val="5"/>
          <w:rFonts w:hint="eastAsia"/>
        </w:rPr>
      </w:pPr>
      <w:r>
        <w:rPr>
          <w:rStyle w:val="5"/>
          <w:rFonts w:hint="eastAsia"/>
          <w:lang w:val="en-US" w:eastAsia="zh-CN"/>
        </w:rPr>
        <w:t>1.4《政府采购非招标采购方式管理办法》（财政部74号令）；</w:t>
      </w:r>
    </w:p>
    <w:p w14:paraId="5CA786F7">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420"/>
        <w:jc w:val="left"/>
        <w:rPr>
          <w:rStyle w:val="5"/>
          <w:rFonts w:hint="eastAsia"/>
        </w:rPr>
      </w:pPr>
      <w:r>
        <w:rPr>
          <w:rStyle w:val="5"/>
          <w:rFonts w:hint="eastAsia"/>
          <w:lang w:val="en-US" w:eastAsia="zh-CN"/>
        </w:rPr>
        <w:t>1.5其它相关法律、法规、规章。</w:t>
      </w:r>
    </w:p>
    <w:p w14:paraId="43CD2C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00" w:beforeAutospacing="0" w:after="100" w:afterAutospacing="0"/>
        <w:ind w:left="210" w:right="0" w:firstLine="0"/>
        <w:jc w:val="both"/>
        <w:rPr>
          <w:rStyle w:val="5"/>
          <w:rFonts w:hint="eastAsia"/>
        </w:rPr>
      </w:pPr>
      <w:bookmarkStart w:id="4" w:name="_Toc650"/>
      <w:bookmarkEnd w:id="4"/>
      <w:bookmarkStart w:id="5" w:name="_Toc89245368"/>
      <w:bookmarkEnd w:id="5"/>
      <w:bookmarkStart w:id="6" w:name="_Toc89245663"/>
      <w:bookmarkEnd w:id="6"/>
      <w:bookmarkStart w:id="7" w:name="_Toc89174670"/>
      <w:bookmarkEnd w:id="7"/>
      <w:r>
        <w:rPr>
          <w:rStyle w:val="5"/>
          <w:rFonts w:hint="default"/>
        </w:rPr>
        <w:t>3. </w:t>
      </w:r>
      <w:r>
        <w:rPr>
          <w:rStyle w:val="5"/>
          <w:rFonts w:hint="eastAsia"/>
        </w:rPr>
        <w:t>采购内容</w:t>
      </w:r>
    </w:p>
    <w:p w14:paraId="2AAE0E57">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420"/>
        <w:jc w:val="left"/>
        <w:rPr>
          <w:rStyle w:val="5"/>
          <w:rFonts w:hint="eastAsia"/>
        </w:rPr>
      </w:pPr>
      <w:r>
        <w:rPr>
          <w:rStyle w:val="5"/>
          <w:rFonts w:hint="eastAsia"/>
          <w:lang w:val="en-US" w:eastAsia="zh-CN"/>
        </w:rPr>
        <w:t>3.1采购内容：ASA装置自2025年5月份生产至今，已完成多批次物料的生产。目前膜料生产方案已基本固定，具备连续稳定生产的条件，为确保物料乳液及产品的运输，需物流公司提供年度框架运输服务。</w:t>
      </w:r>
    </w:p>
    <w:p w14:paraId="5F9DDE5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420"/>
        <w:jc w:val="left"/>
        <w:rPr>
          <w:rStyle w:val="5"/>
          <w:rFonts w:hint="eastAsia"/>
        </w:rPr>
      </w:pPr>
      <w:r>
        <w:rPr>
          <w:rStyle w:val="5"/>
          <w:rFonts w:hint="eastAsia"/>
          <w:lang w:val="en-US" w:eastAsia="zh-CN"/>
        </w:rPr>
        <w:t>3.2 </w:t>
      </w:r>
      <w:r>
        <w:rPr>
          <w:rStyle w:val="5"/>
          <w:lang w:val="en-US" w:eastAsia="zh-CN"/>
        </w:rPr>
        <w:t>*</w:t>
      </w:r>
      <w:r>
        <w:rPr>
          <w:rStyle w:val="5"/>
          <w:rFonts w:hint="eastAsia"/>
          <w:lang w:val="en-US" w:eastAsia="zh-CN"/>
        </w:rPr>
        <w:t>服务期：自合同签订之日起至</w:t>
      </w:r>
      <w:r>
        <w:rPr>
          <w:rStyle w:val="5"/>
          <w:rFonts w:hint="default"/>
          <w:lang w:val="en-US" w:eastAsia="zh-CN"/>
        </w:rPr>
        <w:t>2026</w:t>
      </w:r>
      <w:r>
        <w:rPr>
          <w:rStyle w:val="5"/>
          <w:rFonts w:hint="eastAsia"/>
          <w:lang w:val="en-US" w:eastAsia="zh-CN"/>
        </w:rPr>
        <w:t>年</w:t>
      </w:r>
      <w:r>
        <w:rPr>
          <w:rStyle w:val="5"/>
          <w:rFonts w:hint="default"/>
          <w:lang w:val="en-US" w:eastAsia="zh-CN"/>
        </w:rPr>
        <w:t>12</w:t>
      </w:r>
      <w:r>
        <w:rPr>
          <w:rStyle w:val="5"/>
          <w:rFonts w:hint="eastAsia"/>
          <w:lang w:val="en-US" w:eastAsia="zh-CN"/>
        </w:rPr>
        <w:t>月</w:t>
      </w:r>
      <w:r>
        <w:rPr>
          <w:rStyle w:val="5"/>
          <w:rFonts w:hint="default"/>
          <w:lang w:val="en-US" w:eastAsia="zh-CN"/>
        </w:rPr>
        <w:t>30</w:t>
      </w:r>
      <w:r>
        <w:rPr>
          <w:rStyle w:val="5"/>
          <w:rFonts w:hint="eastAsia"/>
          <w:lang w:val="en-US" w:eastAsia="zh-CN"/>
        </w:rPr>
        <w:t>日。</w:t>
      </w:r>
    </w:p>
    <w:p w14:paraId="55E2B8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00" w:beforeAutospacing="0" w:after="100" w:afterAutospacing="0"/>
        <w:ind w:left="210" w:right="0" w:firstLine="0"/>
        <w:jc w:val="both"/>
        <w:rPr>
          <w:rStyle w:val="5"/>
          <w:rFonts w:hint="eastAsia"/>
        </w:rPr>
      </w:pPr>
      <w:bookmarkStart w:id="8" w:name="_Toc89174671"/>
      <w:bookmarkEnd w:id="8"/>
      <w:bookmarkStart w:id="9" w:name="_Toc89245369"/>
      <w:bookmarkEnd w:id="9"/>
      <w:bookmarkStart w:id="10" w:name="_Toc4545"/>
      <w:bookmarkEnd w:id="10"/>
      <w:bookmarkStart w:id="11" w:name="_Toc89245664"/>
      <w:bookmarkEnd w:id="11"/>
      <w:r>
        <w:rPr>
          <w:rStyle w:val="5"/>
          <w:rFonts w:hint="default"/>
        </w:rPr>
        <w:t>4. </w:t>
      </w:r>
      <w:r>
        <w:rPr>
          <w:rStyle w:val="5"/>
          <w:rFonts w:hint="eastAsia"/>
        </w:rPr>
        <w:t>供应商资格要求</w:t>
      </w:r>
    </w:p>
    <w:p w14:paraId="3FFE6722">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0"/>
        <w:jc w:val="left"/>
        <w:rPr>
          <w:rStyle w:val="5"/>
          <w:rFonts w:hint="eastAsia"/>
        </w:rPr>
      </w:pPr>
      <w:r>
        <w:rPr>
          <w:rStyle w:val="5"/>
          <w:rFonts w:hint="default"/>
          <w:lang w:val="en-US" w:eastAsia="zh-CN"/>
        </w:rPr>
        <w:t>4.1 </w:t>
      </w:r>
      <w:r>
        <w:rPr>
          <w:rStyle w:val="5"/>
          <w:rFonts w:hint="eastAsia"/>
          <w:lang w:val="en-US" w:eastAsia="zh-CN"/>
        </w:rPr>
        <w:t>报价人具有营业执照、税务登记证、组织机构代码证，或按照“三证合一” 登记制度登记，执照有效。</w:t>
      </w:r>
    </w:p>
    <w:p w14:paraId="4FA1CB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0"/>
        <w:rPr>
          <w:rStyle w:val="5"/>
          <w:rFonts w:hint="eastAsia"/>
        </w:rPr>
      </w:pPr>
      <w:r>
        <w:rPr>
          <w:rStyle w:val="5"/>
          <w:rFonts w:hint="default"/>
        </w:rPr>
        <w:t>4.2 </w:t>
      </w:r>
      <w:r>
        <w:rPr>
          <w:rStyle w:val="5"/>
          <w:rFonts w:hint="eastAsia"/>
        </w:rPr>
        <w:t>报价人拥有满足采购技术要求的承运能力，持有交通运输主管部门核发的有效的《道路运输经营许可证》且在有效期内，许可经营范围应涵盖本次采购项目中涉及的货物运输类别。</w:t>
      </w:r>
    </w:p>
    <w:p w14:paraId="4BDD7EC5">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0"/>
        <w:jc w:val="left"/>
        <w:rPr>
          <w:rStyle w:val="5"/>
          <w:rFonts w:hint="eastAsia"/>
        </w:rPr>
      </w:pPr>
      <w:bookmarkStart w:id="12" w:name="_Hlk143279411"/>
      <w:bookmarkEnd w:id="12"/>
      <w:r>
        <w:rPr>
          <w:rStyle w:val="5"/>
          <w:rFonts w:hint="default"/>
          <w:lang w:val="en-US" w:eastAsia="zh-CN"/>
        </w:rPr>
        <w:t>4.3 </w:t>
      </w:r>
      <w:r>
        <w:rPr>
          <w:rStyle w:val="5"/>
          <w:rFonts w:hint="eastAsia"/>
          <w:lang w:val="en-US" w:eastAsia="zh-CN"/>
        </w:rPr>
        <w:t>近三年相关物流经营活动中无违法记录，提供的产品和服务无违约情况，且三年内无重大及以上道路交通安全责任事故，须提供由法定代表人或授权代表签署并加盖公章的承诺书。</w:t>
      </w:r>
    </w:p>
    <w:p w14:paraId="1A5E7AE7">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0"/>
        <w:jc w:val="left"/>
        <w:rPr>
          <w:rStyle w:val="5"/>
          <w:rFonts w:hint="eastAsia"/>
        </w:rPr>
      </w:pPr>
      <w:r>
        <w:rPr>
          <w:rStyle w:val="5"/>
          <w:rFonts w:hint="default"/>
          <w:lang w:val="en-US" w:eastAsia="zh-CN"/>
        </w:rPr>
        <w:t>4.4 </w:t>
      </w:r>
      <w:r>
        <w:rPr>
          <w:rStyle w:val="5"/>
          <w:rFonts w:hint="eastAsia"/>
          <w:lang w:val="en-US" w:eastAsia="zh-CN"/>
        </w:rPr>
        <w:t>具有良好的银行资信和商业</w:t>
      </w:r>
      <w:r>
        <w:rPr>
          <w:rStyle w:val="5"/>
          <w:rFonts w:hint="eastAsia"/>
          <w:lang w:val="en-US" w:eastAsia="zh-CN"/>
        </w:rPr>
        <w:fldChar w:fldCharType="begin"/>
      </w:r>
      <w:r>
        <w:rPr>
          <w:rStyle w:val="5"/>
          <w:rFonts w:hint="eastAsia"/>
          <w:lang w:val="en-US" w:eastAsia="zh-CN"/>
        </w:rPr>
        <w:instrText xml:space="preserve"> HYPERLINK "javascript:setPayZixun()" </w:instrText>
      </w:r>
      <w:r>
        <w:rPr>
          <w:rStyle w:val="5"/>
          <w:rFonts w:hint="eastAsia"/>
          <w:lang w:val="en-US" w:eastAsia="zh-CN"/>
        </w:rPr>
        <w:fldChar w:fldCharType="separate"/>
      </w:r>
      <w:r>
        <w:rPr>
          <w:rStyle w:val="5"/>
          <w:rFonts w:hint="eastAsia"/>
        </w:rPr>
        <w:t>信誉</w:t>
      </w:r>
      <w:r>
        <w:rPr>
          <w:rStyle w:val="5"/>
          <w:rFonts w:hint="eastAsia"/>
          <w:lang w:val="en-US" w:eastAsia="zh-CN"/>
        </w:rPr>
        <w:fldChar w:fldCharType="end"/>
      </w:r>
      <w:r>
        <w:rPr>
          <w:rStyle w:val="5"/>
          <w:rFonts w:hint="eastAsia"/>
          <w:lang w:val="en-US" w:eastAsia="zh-CN"/>
        </w:rPr>
        <w:t>，没有处于被责令停业、暂扣或者吊销许可证、暂扣或者吊销执照、财产被接管、冻结、破产和重组状态，须出具承诺函（格式自拟）；</w:t>
      </w:r>
    </w:p>
    <w:p w14:paraId="4848E019">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0"/>
        <w:jc w:val="left"/>
        <w:rPr>
          <w:rStyle w:val="5"/>
          <w:rFonts w:hint="eastAsia"/>
        </w:rPr>
      </w:pPr>
      <w:r>
        <w:rPr>
          <w:rStyle w:val="5"/>
          <w:rFonts w:hint="default"/>
          <w:lang w:val="en-US" w:eastAsia="zh-CN"/>
        </w:rPr>
        <w:t>4.5 </w:t>
      </w:r>
      <w:r>
        <w:rPr>
          <w:rStyle w:val="5"/>
          <w:rFonts w:hint="eastAsia"/>
          <w:lang w:val="en-US" w:eastAsia="zh-CN"/>
        </w:rPr>
        <w:t>未被列为</w:t>
      </w:r>
      <w:r>
        <w:rPr>
          <w:rStyle w:val="5"/>
          <w:rFonts w:hint="eastAsia"/>
          <w:lang w:val="en-US" w:eastAsia="zh-CN"/>
        </w:rPr>
        <w:fldChar w:fldCharType="begin"/>
      </w:r>
      <w:r>
        <w:rPr>
          <w:rStyle w:val="5"/>
          <w:rFonts w:hint="eastAsia"/>
          <w:lang w:val="en-US" w:eastAsia="zh-CN"/>
        </w:rPr>
        <w:instrText xml:space="preserve"> HYPERLINK "javascript:setPayZixun()" </w:instrText>
      </w:r>
      <w:r>
        <w:rPr>
          <w:rStyle w:val="5"/>
          <w:rFonts w:hint="eastAsia"/>
          <w:lang w:val="en-US" w:eastAsia="zh-CN"/>
        </w:rPr>
        <w:fldChar w:fldCharType="separate"/>
      </w:r>
      <w:r>
        <w:rPr>
          <w:rStyle w:val="5"/>
          <w:rFonts w:hint="eastAsia"/>
        </w:rPr>
        <w:t>失信</w:t>
      </w:r>
      <w:r>
        <w:rPr>
          <w:rStyle w:val="5"/>
          <w:rFonts w:hint="eastAsia"/>
          <w:lang w:val="en-US" w:eastAsia="zh-CN"/>
        </w:rPr>
        <w:fldChar w:fldCharType="end"/>
      </w:r>
      <w:r>
        <w:rPr>
          <w:rStyle w:val="5"/>
          <w:rFonts w:hint="eastAsia"/>
          <w:lang w:val="en-US" w:eastAsia="zh-CN"/>
        </w:rPr>
        <w:t>被执行人、未被列入重大税收违法案件当事人名单、政府采购严重违法失信行为记录名单（查询渠道：</w:t>
      </w:r>
      <w:r>
        <w:rPr>
          <w:rStyle w:val="5"/>
          <w:rFonts w:hint="default"/>
          <w:lang w:val="en-US" w:eastAsia="zh-CN"/>
        </w:rPr>
        <w:t>www.creditchina.gov.cn</w:t>
      </w:r>
      <w:r>
        <w:rPr>
          <w:rStyle w:val="5"/>
          <w:rFonts w:hint="eastAsia"/>
          <w:lang w:val="en-US" w:eastAsia="zh-CN"/>
        </w:rPr>
        <w:t>、</w:t>
      </w:r>
      <w:r>
        <w:rPr>
          <w:rStyle w:val="5"/>
          <w:rFonts w:hint="default"/>
          <w:lang w:val="en-US" w:eastAsia="zh-CN"/>
        </w:rPr>
        <w:t>www.chinatax.gov.cn</w:t>
      </w:r>
      <w:r>
        <w:rPr>
          <w:rStyle w:val="5"/>
          <w:rFonts w:hint="eastAsia"/>
          <w:lang w:val="en-US" w:eastAsia="zh-CN"/>
        </w:rPr>
        <w:t>、</w:t>
      </w:r>
      <w:r>
        <w:rPr>
          <w:rStyle w:val="5"/>
          <w:rFonts w:hint="default"/>
          <w:lang w:val="en-US" w:eastAsia="zh-CN"/>
        </w:rPr>
        <w:t>www.ccgp.gov.cn</w:t>
      </w:r>
      <w:r>
        <w:rPr>
          <w:rStyle w:val="5"/>
          <w:rFonts w:hint="eastAsia"/>
          <w:lang w:val="en-US" w:eastAsia="zh-CN"/>
        </w:rPr>
        <w:t>）；</w:t>
      </w:r>
    </w:p>
    <w:p w14:paraId="005CB2B0">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0"/>
        <w:jc w:val="left"/>
        <w:rPr>
          <w:rStyle w:val="5"/>
          <w:rFonts w:hint="eastAsia"/>
        </w:rPr>
      </w:pPr>
      <w:r>
        <w:rPr>
          <w:rStyle w:val="5"/>
          <w:rFonts w:hint="default"/>
          <w:lang w:val="en-US" w:eastAsia="zh-CN"/>
        </w:rPr>
        <w:t>4.6 </w:t>
      </w:r>
      <w:r>
        <w:rPr>
          <w:rStyle w:val="5"/>
          <w:rFonts w:hint="eastAsia"/>
          <w:lang w:val="en-US" w:eastAsia="zh-CN"/>
        </w:rPr>
        <w:t>服务商、法定代表人及拟委任的项目负责人近三年须无行贿犯罪记录，须出具承诺函（格式自拟）；</w:t>
      </w:r>
    </w:p>
    <w:p w14:paraId="50427900">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0"/>
        <w:jc w:val="left"/>
        <w:rPr>
          <w:rStyle w:val="5"/>
          <w:rFonts w:hint="eastAsia"/>
        </w:rPr>
      </w:pPr>
      <w:r>
        <w:rPr>
          <w:rStyle w:val="5"/>
          <w:rFonts w:hint="default"/>
          <w:lang w:val="en-US" w:eastAsia="zh-CN"/>
        </w:rPr>
        <w:t>4.7</w:t>
      </w:r>
      <w:r>
        <w:rPr>
          <w:rStyle w:val="5"/>
          <w:rFonts w:hint="eastAsia"/>
          <w:lang w:val="en-US" w:eastAsia="zh-CN"/>
        </w:rPr>
        <w:t>服务商近三年未发生重大产品质量问题、安全、环保事故以及相关服务未出现重大法律纠纷（以相关行业主管部门出具的行政处罚决定或司法机关作出的生效裁判文书为准），如无，须出具承诺函（格式自拟）；</w:t>
      </w:r>
    </w:p>
    <w:p w14:paraId="351D123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0"/>
        <w:jc w:val="left"/>
        <w:rPr>
          <w:rStyle w:val="5"/>
          <w:rFonts w:hint="eastAsia"/>
        </w:rPr>
      </w:pPr>
      <w:r>
        <w:rPr>
          <w:rStyle w:val="5"/>
          <w:rFonts w:hint="default"/>
          <w:lang w:val="en-US" w:eastAsia="zh-CN"/>
        </w:rPr>
        <w:t>4.8</w:t>
      </w:r>
      <w:r>
        <w:rPr>
          <w:rStyle w:val="5"/>
          <w:rFonts w:hint="eastAsia"/>
          <w:lang w:val="en-US" w:eastAsia="zh-CN"/>
        </w:rPr>
        <w:t>其他要求：供应商被中国化学工程集团有限公司和所属公司列入“限制交易供应商名单”、“不合格供应商名单”、“不良企业（个人）名录”或“供应商黑名单”中，不得参与谈判。</w:t>
      </w:r>
    </w:p>
    <w:p w14:paraId="7512D39B">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0"/>
        <w:jc w:val="left"/>
        <w:rPr>
          <w:rStyle w:val="5"/>
          <w:rFonts w:hint="eastAsia"/>
        </w:rPr>
      </w:pPr>
      <w:r>
        <w:rPr>
          <w:rStyle w:val="5"/>
          <w:rFonts w:hint="default"/>
          <w:lang w:val="en-US" w:eastAsia="zh-CN"/>
        </w:rPr>
        <w:t>4.9</w:t>
      </w:r>
      <w:r>
        <w:rPr>
          <w:rStyle w:val="5"/>
          <w:rFonts w:hint="eastAsia"/>
          <w:lang w:val="en-US" w:eastAsia="zh-CN"/>
        </w:rPr>
        <w:t>本项目不接受联合体参与。</w:t>
      </w:r>
    </w:p>
    <w:p w14:paraId="55B737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00" w:beforeAutospacing="0" w:after="100" w:afterAutospacing="0"/>
        <w:ind w:left="210" w:right="0" w:firstLine="0"/>
        <w:jc w:val="both"/>
        <w:rPr>
          <w:rStyle w:val="5"/>
          <w:rFonts w:hint="eastAsia"/>
        </w:rPr>
      </w:pPr>
      <w:bookmarkStart w:id="13" w:name="_Toc89174672"/>
      <w:bookmarkEnd w:id="13"/>
      <w:bookmarkStart w:id="14" w:name="_Toc89245665"/>
      <w:bookmarkEnd w:id="14"/>
      <w:bookmarkStart w:id="15" w:name="_Toc89245370"/>
      <w:bookmarkEnd w:id="15"/>
      <w:bookmarkStart w:id="16" w:name="_Toc8150"/>
      <w:bookmarkEnd w:id="16"/>
      <w:r>
        <w:rPr>
          <w:rStyle w:val="5"/>
          <w:rFonts w:hint="default"/>
        </w:rPr>
        <w:t>5.</w:t>
      </w:r>
      <w:r>
        <w:rPr>
          <w:rStyle w:val="5"/>
          <w:rFonts w:hint="eastAsia"/>
        </w:rPr>
        <w:fldChar w:fldCharType="begin"/>
      </w:r>
      <w:r>
        <w:rPr>
          <w:rStyle w:val="5"/>
          <w:rFonts w:hint="eastAsia"/>
        </w:rPr>
        <w:instrText xml:space="preserve"> HYPERLINK "javascript:setPayZixun()" \o "标书制作" </w:instrText>
      </w:r>
      <w:r>
        <w:rPr>
          <w:rStyle w:val="5"/>
          <w:rFonts w:hint="eastAsia"/>
        </w:rPr>
        <w:fldChar w:fldCharType="separate"/>
      </w:r>
      <w:r>
        <w:rPr>
          <w:rStyle w:val="5"/>
          <w:rFonts w:hint="eastAsia"/>
        </w:rPr>
        <w:t>采购文件</w:t>
      </w:r>
      <w:r>
        <w:rPr>
          <w:rStyle w:val="5"/>
          <w:rFonts w:hint="eastAsia"/>
        </w:rPr>
        <w:fldChar w:fldCharType="end"/>
      </w:r>
      <w:r>
        <w:rPr>
          <w:rStyle w:val="5"/>
          <w:rFonts w:hint="eastAsia"/>
        </w:rPr>
        <w:t>的获取</w:t>
      </w:r>
    </w:p>
    <w:p w14:paraId="1CE15042">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210" w:right="0" w:firstLine="422"/>
        <w:jc w:val="left"/>
        <w:rPr>
          <w:rStyle w:val="5"/>
          <w:rFonts w:hint="eastAsia"/>
        </w:rPr>
      </w:pPr>
      <w:r>
        <w:rPr>
          <w:rStyle w:val="5"/>
          <w:rFonts w:hint="eastAsia"/>
          <w:lang w:val="en-US" w:eastAsia="zh-CN"/>
        </w:rPr>
        <w:t>是否需要使用CA：否。</w:t>
      </w:r>
    </w:p>
    <w:p w14:paraId="5AEACDC9">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0"/>
        <w:jc w:val="left"/>
        <w:rPr>
          <w:rStyle w:val="5"/>
          <w:rFonts w:hint="eastAsia"/>
        </w:rPr>
      </w:pPr>
      <w:r>
        <w:rPr>
          <w:rStyle w:val="5"/>
          <w:rFonts w:hint="default"/>
          <w:lang w:val="en-US" w:eastAsia="zh-CN"/>
        </w:rPr>
        <w:t>5.1</w:t>
      </w:r>
      <w:r>
        <w:rPr>
          <w:rStyle w:val="5"/>
          <w:rFonts w:hint="eastAsia"/>
          <w:lang w:val="en-US" w:eastAsia="zh-CN"/>
        </w:rPr>
        <w:t>本次采购文件仅在中国化学电子招标投标交易平台（ http://bid.cncecyc.com）上以电子版方式发售。</w:t>
      </w:r>
    </w:p>
    <w:p w14:paraId="6FD0697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0"/>
        <w:jc w:val="left"/>
        <w:rPr>
          <w:rStyle w:val="5"/>
          <w:rFonts w:hint="eastAsia"/>
        </w:rPr>
      </w:pPr>
      <w:r>
        <w:rPr>
          <w:rStyle w:val="5"/>
          <w:rFonts w:hint="eastAsia"/>
          <w:lang w:val="en-US" w:eastAsia="zh-CN"/>
        </w:rPr>
        <w:t>5.2采购文件获取程序：</w:t>
      </w:r>
    </w:p>
    <w:p w14:paraId="6318C8E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0"/>
        <w:jc w:val="left"/>
        <w:rPr>
          <w:rStyle w:val="5"/>
          <w:rFonts w:hint="eastAsia"/>
        </w:rPr>
      </w:pPr>
      <w:r>
        <w:rPr>
          <w:rStyle w:val="5"/>
          <w:rFonts w:hint="eastAsia"/>
          <w:lang w:val="en-US" w:eastAsia="zh-CN"/>
        </w:rPr>
        <w:t>5.2.1注册：潜在供应商需在中国化学电子招标投标交易平台（ http://bid.cncecyc.com）注册成为平台用户。因审核有一定时间，建议提前操作。</w:t>
      </w:r>
    </w:p>
    <w:p w14:paraId="6BC28A9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0"/>
        <w:jc w:val="left"/>
        <w:rPr>
          <w:rStyle w:val="5"/>
          <w:rFonts w:hint="eastAsia"/>
        </w:rPr>
      </w:pPr>
      <w:r>
        <w:rPr>
          <w:rStyle w:val="5"/>
          <w:rFonts w:hint="eastAsia"/>
          <w:lang w:val="en-US" w:eastAsia="zh-CN"/>
        </w:rPr>
        <w:t>5.2.2响应：经注册、审核后，潜在供应商请在采购文件获取的规定时间内登录网站。</w:t>
      </w:r>
    </w:p>
    <w:p w14:paraId="1A39B1BA">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0"/>
        <w:jc w:val="left"/>
        <w:rPr>
          <w:rStyle w:val="5"/>
          <w:rFonts w:hint="eastAsia"/>
        </w:rPr>
      </w:pPr>
      <w:r>
        <w:rPr>
          <w:rStyle w:val="5"/>
          <w:rFonts w:hint="eastAsia"/>
          <w:lang w:val="en-US" w:eastAsia="zh-CN"/>
        </w:rPr>
        <w:t>5.2.3购买谈判采购文件: 凡有意参加的潜在供应商,请于2025年11月18日09时00分至2025年11月20日17时30分前（节假日除外）登陆中国化学电子招标投标交易平台（ </w:t>
      </w:r>
      <w:r>
        <w:rPr>
          <w:rStyle w:val="5"/>
          <w:rFonts w:hint="eastAsia"/>
          <w:lang w:val="en-US" w:eastAsia="zh-CN"/>
        </w:rPr>
        <w:fldChar w:fldCharType="begin"/>
      </w:r>
      <w:r>
        <w:rPr>
          <w:rStyle w:val="5"/>
          <w:rFonts w:hint="eastAsia"/>
          <w:lang w:val="en-US" w:eastAsia="zh-CN"/>
        </w:rPr>
        <w:instrText xml:space="preserve"> HYPERLINK "http://bid.cncecyc.com/" </w:instrText>
      </w:r>
      <w:r>
        <w:rPr>
          <w:rStyle w:val="5"/>
          <w:rFonts w:hint="eastAsia"/>
          <w:lang w:val="en-US" w:eastAsia="zh-CN"/>
        </w:rPr>
        <w:fldChar w:fldCharType="separate"/>
      </w:r>
      <w:r>
        <w:rPr>
          <w:rStyle w:val="5"/>
          <w:rFonts w:hint="default"/>
        </w:rPr>
        <w:t>http://bid.cncecyc.com</w:t>
      </w:r>
      <w:r>
        <w:rPr>
          <w:rStyle w:val="5"/>
          <w:rFonts w:hint="eastAsia"/>
          <w:lang w:val="en-US" w:eastAsia="zh-CN"/>
        </w:rPr>
        <w:fldChar w:fldCharType="end"/>
      </w:r>
      <w:r>
        <w:rPr>
          <w:rStyle w:val="5"/>
          <w:rFonts w:hint="eastAsia"/>
          <w:lang w:val="en-US" w:eastAsia="zh-CN"/>
        </w:rPr>
        <w:t>）获取电子版谈判采购文件。</w:t>
      </w:r>
    </w:p>
    <w:p w14:paraId="7209A3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00" w:beforeAutospacing="0" w:after="100" w:afterAutospacing="0"/>
        <w:ind w:left="210" w:right="0" w:firstLine="0"/>
        <w:jc w:val="both"/>
        <w:rPr>
          <w:rStyle w:val="5"/>
          <w:rFonts w:hint="eastAsia"/>
        </w:rPr>
      </w:pPr>
      <w:bookmarkStart w:id="17" w:name="_Toc89174673"/>
      <w:bookmarkEnd w:id="17"/>
      <w:bookmarkStart w:id="18" w:name="_Toc89245371"/>
      <w:bookmarkEnd w:id="18"/>
      <w:bookmarkStart w:id="19" w:name="_Toc25563"/>
      <w:bookmarkEnd w:id="19"/>
      <w:bookmarkStart w:id="20" w:name="_Toc89245666"/>
      <w:bookmarkEnd w:id="20"/>
      <w:r>
        <w:rPr>
          <w:rStyle w:val="5"/>
          <w:rFonts w:hint="default"/>
        </w:rPr>
        <w:t>6.</w:t>
      </w:r>
      <w:r>
        <w:rPr>
          <w:rStyle w:val="5"/>
          <w:rFonts w:hint="eastAsia"/>
        </w:rPr>
        <w:t>响应保证金</w:t>
      </w:r>
    </w:p>
    <w:p w14:paraId="4284030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480"/>
        <w:jc w:val="left"/>
        <w:textAlignment w:val="baseline"/>
        <w:rPr>
          <w:rStyle w:val="5"/>
          <w:rFonts w:hint="eastAsia"/>
        </w:rPr>
      </w:pPr>
      <w:r>
        <w:rPr>
          <w:rStyle w:val="5"/>
          <w:rFonts w:hint="eastAsia"/>
          <w:lang w:val="en-US" w:eastAsia="zh-CN"/>
        </w:rPr>
        <w:t>6.1响应保证金要求：递交</w:t>
      </w:r>
      <w:r>
        <w:rPr>
          <w:rStyle w:val="5"/>
          <w:rFonts w:hint="eastAsia"/>
          <w:lang w:val="en-US" w:eastAsia="zh-CN"/>
        </w:rPr>
        <w:fldChar w:fldCharType="begin"/>
      </w:r>
      <w:r>
        <w:rPr>
          <w:rStyle w:val="5"/>
          <w:rFonts w:hint="eastAsia"/>
          <w:lang w:val="en-US" w:eastAsia="zh-CN"/>
        </w:rPr>
        <w:instrText xml:space="preserve"> HYPERLINK "javascript:setPayZixun()" \o "标书制作" </w:instrText>
      </w:r>
      <w:r>
        <w:rPr>
          <w:rStyle w:val="5"/>
          <w:rFonts w:hint="eastAsia"/>
          <w:lang w:val="en-US" w:eastAsia="zh-CN"/>
        </w:rPr>
        <w:fldChar w:fldCharType="separate"/>
      </w:r>
      <w:r>
        <w:rPr>
          <w:rStyle w:val="5"/>
          <w:rFonts w:hint="eastAsia"/>
        </w:rPr>
        <w:t>响应文件</w:t>
      </w:r>
      <w:r>
        <w:rPr>
          <w:rStyle w:val="5"/>
          <w:rFonts w:hint="eastAsia"/>
          <w:lang w:val="en-US" w:eastAsia="zh-CN"/>
        </w:rPr>
        <w:fldChar w:fldCharType="end"/>
      </w:r>
      <w:r>
        <w:rPr>
          <w:rStyle w:val="5"/>
          <w:rFonts w:hint="eastAsia"/>
          <w:lang w:val="en-US" w:eastAsia="zh-CN"/>
        </w:rPr>
        <w:t>时须缴纳响应保证金银行回单复印件（具体数额见附件一），响应保证金请于开启前2个工作日汇入指定账户，确保到账，并在汇款单上注明所投项目的采购编号和标段（包)名称，以便财务及时查账。不接受个人汇款，响应保证金汇款单位名称与供应商名称须完全一致。</w:t>
      </w:r>
    </w:p>
    <w:p w14:paraId="7AFEC87A">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480"/>
        <w:jc w:val="left"/>
        <w:textAlignment w:val="baseline"/>
        <w:rPr>
          <w:rStyle w:val="5"/>
          <w:rFonts w:hint="eastAsia"/>
        </w:rPr>
      </w:pPr>
      <w:r>
        <w:rPr>
          <w:rStyle w:val="5"/>
          <w:rFonts w:hint="eastAsia"/>
          <w:lang w:val="en-US" w:eastAsia="zh-CN"/>
        </w:rPr>
        <w:t>6.2线上递交响应保证金付款凭证扫描件：请在递交响应保证金后将保证金付款凭证扫描件上传至平台，作为财务查账依据。如未按照谈判采购文件要求备注导致保证金被退回，后果自负。未按期汇入响应保证金并线上递交付款凭证的，其响应文件作废标处理。响应保证金待开启后在规定的期限内按谈判采购文件规定不计息退还供应商。（平台操作：“我的项目-项目主控台-保证金管理”，详见《供应商操作手册》）</w:t>
      </w:r>
    </w:p>
    <w:p w14:paraId="091C91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00" w:beforeAutospacing="0" w:after="100" w:afterAutospacing="0"/>
        <w:ind w:left="210" w:right="0" w:firstLine="0"/>
        <w:jc w:val="both"/>
        <w:rPr>
          <w:rStyle w:val="5"/>
          <w:rFonts w:hint="eastAsia"/>
        </w:rPr>
      </w:pPr>
      <w:bookmarkStart w:id="21" w:name="_Toc89174674"/>
      <w:bookmarkEnd w:id="21"/>
      <w:bookmarkStart w:id="22" w:name="_Toc89245372"/>
      <w:bookmarkEnd w:id="22"/>
      <w:bookmarkStart w:id="23" w:name="_Toc10417"/>
      <w:bookmarkEnd w:id="23"/>
      <w:bookmarkStart w:id="24" w:name="_Toc89245667"/>
      <w:bookmarkEnd w:id="24"/>
      <w:r>
        <w:rPr>
          <w:rStyle w:val="5"/>
          <w:rFonts w:hint="default"/>
        </w:rPr>
        <w:t>7.</w:t>
      </w:r>
      <w:r>
        <w:rPr>
          <w:rStyle w:val="5"/>
          <w:rFonts w:hint="eastAsia"/>
        </w:rPr>
        <w:t>响应文件的递交</w:t>
      </w:r>
    </w:p>
    <w:p w14:paraId="4C67C51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210" w:right="0" w:firstLine="0"/>
        <w:jc w:val="left"/>
        <w:rPr>
          <w:rStyle w:val="5"/>
          <w:rFonts w:hint="eastAsia"/>
        </w:rPr>
      </w:pPr>
      <w:r>
        <w:rPr>
          <w:rStyle w:val="5"/>
          <w:rFonts w:hint="eastAsia"/>
          <w:lang w:val="en-US" w:eastAsia="zh-CN"/>
        </w:rPr>
        <w:t>线上递交，线上开启。</w:t>
      </w:r>
    </w:p>
    <w:p w14:paraId="0297A97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0"/>
        <w:jc w:val="left"/>
        <w:rPr>
          <w:rStyle w:val="5"/>
          <w:rFonts w:hint="eastAsia"/>
        </w:rPr>
      </w:pPr>
      <w:r>
        <w:rPr>
          <w:rStyle w:val="5"/>
          <w:rFonts w:hint="eastAsia"/>
          <w:lang w:val="en-US" w:eastAsia="zh-CN"/>
        </w:rPr>
        <w:t>7.1 响应文件递交的时间：递交响应文件的截止时间为2025年11月21日上午09时30分。</w:t>
      </w:r>
    </w:p>
    <w:p w14:paraId="073104D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0"/>
        <w:jc w:val="left"/>
        <w:rPr>
          <w:rStyle w:val="5"/>
          <w:rFonts w:hint="eastAsia"/>
        </w:rPr>
      </w:pPr>
      <w:r>
        <w:rPr>
          <w:rStyle w:val="5"/>
          <w:rFonts w:hint="eastAsia"/>
          <w:lang w:val="en-US" w:eastAsia="zh-CN"/>
        </w:rPr>
        <w:t>7.2响应文件的递交：供应商法定代表人或其委托代理人应将响应文件（PDF版）在规定时间上传至中国化学电子招标投标交易平台，逾期未上传，采购人将其作放弃响应处理。（客服热线：400-0351-029）</w:t>
      </w:r>
    </w:p>
    <w:p w14:paraId="1182C61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0"/>
        <w:jc w:val="left"/>
        <w:rPr>
          <w:rStyle w:val="5"/>
          <w:rFonts w:hint="eastAsia"/>
        </w:rPr>
      </w:pPr>
      <w:r>
        <w:rPr>
          <w:rStyle w:val="5"/>
          <w:rFonts w:hint="eastAsia"/>
          <w:lang w:val="en-US" w:eastAsia="zh-CN"/>
        </w:rPr>
        <w:t>7.3开启地点：中国化学电子招标投标交易平台（网上开启）。</w:t>
      </w:r>
    </w:p>
    <w:p w14:paraId="35839E88">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0"/>
        <w:jc w:val="left"/>
        <w:rPr>
          <w:rStyle w:val="5"/>
          <w:rFonts w:hint="eastAsia"/>
        </w:rPr>
      </w:pPr>
      <w:r>
        <w:rPr>
          <w:rStyle w:val="5"/>
          <w:rFonts w:hint="eastAsia"/>
          <w:lang w:val="en-US" w:eastAsia="zh-CN"/>
        </w:rPr>
        <w:t>7.4谈判采购文件澄清答疑：澄清截止时间2024年11月20日17时30分，澄清联系人：中化学天津新材料科技有限公司 。澄清方式：澄清通过电子招标平台发布，答复以电子招标平台澄清为准，电话咨询不作为评审依据。（平台操作：“投标管理-我的项目-操作按钮：采购文件澄清管理”，详见《供应商操作手册》）</w:t>
      </w:r>
    </w:p>
    <w:p w14:paraId="76CCBD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00" w:beforeAutospacing="0" w:after="100" w:afterAutospacing="0"/>
        <w:ind w:left="210" w:right="0" w:firstLine="0"/>
        <w:jc w:val="both"/>
        <w:rPr>
          <w:rStyle w:val="5"/>
          <w:rFonts w:hint="eastAsia"/>
        </w:rPr>
      </w:pPr>
      <w:bookmarkStart w:id="25" w:name="_Toc24531236"/>
      <w:bookmarkEnd w:id="25"/>
      <w:bookmarkStart w:id="26" w:name="_Toc11943667"/>
      <w:bookmarkEnd w:id="26"/>
      <w:bookmarkStart w:id="27" w:name="_Toc89245668"/>
      <w:bookmarkEnd w:id="27"/>
      <w:bookmarkStart w:id="28" w:name="_Toc89245373"/>
      <w:bookmarkEnd w:id="28"/>
      <w:bookmarkStart w:id="29" w:name="_Toc21613"/>
      <w:bookmarkEnd w:id="29"/>
      <w:bookmarkStart w:id="30" w:name="_Toc89174675"/>
      <w:bookmarkEnd w:id="30"/>
      <w:r>
        <w:rPr>
          <w:rStyle w:val="5"/>
          <w:rFonts w:hint="default"/>
        </w:rPr>
        <w:t>8.</w:t>
      </w:r>
      <w:r>
        <w:rPr>
          <w:rStyle w:val="5"/>
          <w:rFonts w:hint="eastAsia"/>
        </w:rPr>
        <w:t>发布公告的媒介</w:t>
      </w:r>
    </w:p>
    <w:p w14:paraId="2FC43D29">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210" w:right="0" w:firstLine="480"/>
        <w:jc w:val="left"/>
        <w:rPr>
          <w:rStyle w:val="5"/>
          <w:rFonts w:hint="eastAsia"/>
        </w:rPr>
      </w:pPr>
      <w:r>
        <w:rPr>
          <w:rStyle w:val="5"/>
          <w:rFonts w:hint="eastAsia"/>
          <w:lang w:val="en-US" w:eastAsia="zh-CN"/>
        </w:rPr>
        <w:t>中国化学电子招标投标交易平台（ </w:t>
      </w:r>
      <w:r>
        <w:rPr>
          <w:rStyle w:val="5"/>
          <w:rFonts w:hint="eastAsia"/>
          <w:lang w:val="en-US" w:eastAsia="zh-CN"/>
        </w:rPr>
        <w:fldChar w:fldCharType="begin"/>
      </w:r>
      <w:r>
        <w:rPr>
          <w:rStyle w:val="5"/>
          <w:rFonts w:hint="eastAsia"/>
          <w:lang w:val="en-US" w:eastAsia="zh-CN"/>
        </w:rPr>
        <w:instrText xml:space="preserve"> HYPERLINK "http://bid.cncecyc.com/" </w:instrText>
      </w:r>
      <w:r>
        <w:rPr>
          <w:rStyle w:val="5"/>
          <w:rFonts w:hint="eastAsia"/>
          <w:lang w:val="en-US" w:eastAsia="zh-CN"/>
        </w:rPr>
        <w:fldChar w:fldCharType="separate"/>
      </w:r>
      <w:r>
        <w:rPr>
          <w:rStyle w:val="5"/>
          <w:rFonts w:hint="eastAsia"/>
        </w:rPr>
        <w:t>http://bid.cncecyc.com</w:t>
      </w:r>
      <w:r>
        <w:rPr>
          <w:rStyle w:val="5"/>
          <w:rFonts w:hint="eastAsia"/>
          <w:lang w:val="en-US" w:eastAsia="zh-CN"/>
        </w:rPr>
        <w:fldChar w:fldCharType="end"/>
      </w:r>
      <w:r>
        <w:rPr>
          <w:rStyle w:val="5"/>
          <w:rFonts w:hint="eastAsia"/>
          <w:lang w:val="en-US" w:eastAsia="zh-CN"/>
        </w:rPr>
        <w:t>）。</w:t>
      </w:r>
    </w:p>
    <w:p w14:paraId="6E00B7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00" w:beforeAutospacing="0" w:after="100" w:afterAutospacing="0"/>
        <w:ind w:left="210" w:right="0" w:firstLine="0"/>
        <w:jc w:val="both"/>
        <w:rPr>
          <w:rStyle w:val="5"/>
          <w:rFonts w:hint="eastAsia"/>
        </w:rPr>
      </w:pPr>
      <w:bookmarkStart w:id="31" w:name="_Toc7091"/>
      <w:bookmarkEnd w:id="31"/>
      <w:bookmarkStart w:id="32" w:name="_Toc89174676"/>
      <w:bookmarkEnd w:id="32"/>
      <w:bookmarkStart w:id="33" w:name="_Toc89245374"/>
      <w:bookmarkEnd w:id="33"/>
      <w:bookmarkStart w:id="34" w:name="_Toc89245669"/>
      <w:bookmarkEnd w:id="34"/>
      <w:r>
        <w:rPr>
          <w:rStyle w:val="5"/>
          <w:rFonts w:hint="default"/>
        </w:rPr>
        <w:t>9. </w:t>
      </w:r>
      <w:r>
        <w:rPr>
          <w:rStyle w:val="5"/>
          <w:rFonts w:hint="eastAsia"/>
        </w:rPr>
        <w:t>联系方式</w:t>
      </w:r>
    </w:p>
    <w:p w14:paraId="4A39B3F9">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210" w:right="0" w:firstLine="240"/>
        <w:jc w:val="left"/>
        <w:rPr>
          <w:rStyle w:val="5"/>
          <w:rFonts w:hint="eastAsia"/>
        </w:rPr>
      </w:pPr>
      <w:r>
        <w:rPr>
          <w:rStyle w:val="5"/>
          <w:rFonts w:hint="eastAsia"/>
          <w:lang w:val="en-US" w:eastAsia="zh-CN"/>
        </w:rPr>
        <w:t>采购人：中化学(天津)新材料科技有限公司</w:t>
      </w:r>
    </w:p>
    <w:p w14:paraId="74E8BFE7">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210" w:right="0" w:firstLine="240"/>
        <w:jc w:val="left"/>
        <w:rPr>
          <w:rStyle w:val="5"/>
          <w:rFonts w:hint="eastAsia"/>
        </w:rPr>
      </w:pPr>
      <w:r>
        <w:rPr>
          <w:rStyle w:val="5"/>
          <w:rFonts w:hint="eastAsia"/>
          <w:lang w:val="en-US" w:eastAsia="zh-CN"/>
        </w:rPr>
        <w:t>联系人：采购人</w:t>
      </w:r>
    </w:p>
    <w:p w14:paraId="75687E88">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210" w:right="0" w:firstLine="240"/>
        <w:jc w:val="left"/>
        <w:rPr>
          <w:rStyle w:val="5"/>
          <w:rFonts w:hint="eastAsia"/>
        </w:rPr>
      </w:pPr>
      <w:r>
        <w:rPr>
          <w:rStyle w:val="5"/>
          <w:rFonts w:hint="eastAsia"/>
          <w:lang w:val="en-US" w:eastAsia="zh-CN"/>
        </w:rPr>
        <w:t>联系电话：15222215658</w:t>
      </w:r>
    </w:p>
    <w:p w14:paraId="66F82F3B">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210" w:right="0" w:firstLine="240"/>
        <w:jc w:val="left"/>
        <w:rPr>
          <w:rStyle w:val="5"/>
          <w:rFonts w:hint="eastAsia"/>
        </w:rPr>
      </w:pPr>
      <w:r>
        <w:rPr>
          <w:rStyle w:val="5"/>
          <w:rFonts w:hint="eastAsia"/>
          <w:lang w:val="en-US" w:eastAsia="zh-CN"/>
        </w:rPr>
        <w:t>邮 箱：zhaojian5@cncec.cn</w:t>
      </w:r>
    </w:p>
    <w:p w14:paraId="184B5163">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210" w:right="0" w:firstLine="240"/>
        <w:jc w:val="left"/>
        <w:rPr>
          <w:rStyle w:val="5"/>
          <w:rFonts w:hint="eastAsia"/>
        </w:rPr>
      </w:pPr>
      <w:r>
        <w:rPr>
          <w:rStyle w:val="5"/>
          <w:rFonts w:hint="eastAsia"/>
          <w:lang w:val="en-US" w:eastAsia="zh-CN"/>
        </w:rPr>
        <w:t>平台操作咨询：400-0351-029</w:t>
      </w:r>
    </w:p>
    <w:p w14:paraId="0C5A72A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4800"/>
        <w:jc w:val="left"/>
        <w:rPr>
          <w:rStyle w:val="5"/>
          <w:rFonts w:hint="eastAsia"/>
        </w:rPr>
      </w:pPr>
      <w:r>
        <w:rPr>
          <w:rStyle w:val="5"/>
          <w:rFonts w:hint="eastAsia"/>
          <w:lang w:val="en-US" w:eastAsia="zh-CN"/>
        </w:rPr>
        <w:t>中化学</w:t>
      </w:r>
      <w:r>
        <w:rPr>
          <w:rStyle w:val="5"/>
          <w:rFonts w:hint="default"/>
          <w:lang w:val="en-US" w:eastAsia="zh-CN"/>
        </w:rPr>
        <w:t>(</w:t>
      </w:r>
      <w:r>
        <w:rPr>
          <w:rStyle w:val="5"/>
          <w:rFonts w:hint="eastAsia"/>
          <w:lang w:val="en-US" w:eastAsia="zh-CN"/>
        </w:rPr>
        <w:t>天津</w:t>
      </w:r>
      <w:r>
        <w:rPr>
          <w:rStyle w:val="5"/>
          <w:rFonts w:hint="default"/>
          <w:lang w:val="en-US" w:eastAsia="zh-CN"/>
        </w:rPr>
        <w:t>)</w:t>
      </w:r>
      <w:r>
        <w:rPr>
          <w:rStyle w:val="5"/>
          <w:rFonts w:hint="eastAsia"/>
          <w:lang w:val="en-US" w:eastAsia="zh-CN"/>
        </w:rPr>
        <w:t>新材料科技有限公司</w:t>
      </w:r>
    </w:p>
    <w:p w14:paraId="5BD3392B">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210" w:right="0" w:firstLine="480"/>
        <w:jc w:val="center"/>
        <w:rPr>
          <w:rStyle w:val="5"/>
          <w:rFonts w:hint="eastAsia"/>
        </w:rPr>
      </w:pPr>
      <w:r>
        <w:rPr>
          <w:rStyle w:val="5"/>
          <w:rFonts w:hint="default"/>
          <w:lang w:val="en-US" w:eastAsia="zh-CN"/>
        </w:rPr>
        <w:t>2025</w:t>
      </w:r>
      <w:r>
        <w:rPr>
          <w:rStyle w:val="5"/>
          <w:rFonts w:hint="eastAsia"/>
          <w:lang w:val="en-US" w:eastAsia="zh-CN"/>
        </w:rPr>
        <w:t>年</w:t>
      </w:r>
      <w:r>
        <w:rPr>
          <w:rStyle w:val="5"/>
          <w:rFonts w:hint="default"/>
          <w:lang w:val="en-US" w:eastAsia="zh-CN"/>
        </w:rPr>
        <w:t>11</w:t>
      </w:r>
      <w:r>
        <w:rPr>
          <w:rStyle w:val="5"/>
          <w:rFonts w:hint="eastAsia"/>
          <w:lang w:val="en-US" w:eastAsia="zh-CN"/>
        </w:rPr>
        <w:t>月</w:t>
      </w:r>
      <w:r>
        <w:rPr>
          <w:rStyle w:val="5"/>
          <w:rFonts w:hint="default"/>
          <w:lang w:val="en-US" w:eastAsia="zh-CN"/>
        </w:rPr>
        <w:t>18</w:t>
      </w:r>
      <w:r>
        <w:rPr>
          <w:rStyle w:val="5"/>
          <w:rFonts w:hint="eastAsia"/>
          <w:lang w:val="en-US" w:eastAsia="zh-CN"/>
        </w:rPr>
        <w:t>日</w:t>
      </w:r>
    </w:p>
    <w:p w14:paraId="7A43A4DE">
      <w:pPr>
        <w:rPr>
          <w:rStyle w:val="5"/>
        </w:rPr>
      </w:pPr>
    </w:p>
    <w:bookmarkEnd w:id="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B2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2025-11-18T03:18:07Z</dcterms:created>
  <dc:creator>28039</dc:creator>
  <cp:lastModifiedBy>璇儿</cp:lastModifiedBy>
  <dcterms:modified xsi:type="dcterms:W3CDTF">2025-11-18T03:18:12Z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64FF67C7D5744E61A3F018E2BAC2BA63_12</vt:lpwstr>
  </property>
</Properties>
</file>