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A82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jc w:val="center"/>
        <w:rPr>
          <w:rStyle w:val="4"/>
        </w:rPr>
      </w:pPr>
      <w:bookmarkStart w:id="0" w:name="_GoBack"/>
      <w:r>
        <w:rPr>
          <w:rStyle w:val="4"/>
        </w:rPr>
        <w:t>眉山公司2026年进口货物国内段运输</w:t>
      </w:r>
      <w:r>
        <w:rPr>
          <w:rStyle w:val="4"/>
          <w:rFonts w:hint="default"/>
        </w:rPr>
        <w:t>采购项目采购</w:t>
      </w:r>
    </w:p>
    <w:p w14:paraId="3667E1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Style w:val="4"/>
          <w:rFonts w:hint="eastAsia"/>
        </w:rPr>
      </w:pPr>
      <w:r>
        <w:rPr>
          <w:rStyle w:val="4"/>
          <w:rFonts w:hint="default"/>
        </w:rPr>
        <w:t> </w:t>
      </w:r>
    </w:p>
    <w:p w14:paraId="644757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一、采购条件</w:t>
      </w:r>
    </w:p>
    <w:p w14:paraId="625888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Pr>
        <w:t>本项目采购人为:【中车眉山车辆有限公司】，资金来源为:【企业自筹资金】，出资比例：【100%】。本项目已具备采购条件，现</w:t>
      </w:r>
      <w:r>
        <w:rPr>
          <w:rStyle w:val="4"/>
          <w:rFonts w:hint="eastAsia"/>
        </w:rPr>
        <w:t>对眉山公司2026年进口货物国内段运输采购</w:t>
      </w:r>
      <w:r>
        <w:rPr>
          <w:rStyle w:val="4"/>
          <w:rFonts w:hint="default"/>
        </w:rPr>
        <w:t>项目进行公开采购。采购方式为:【采购式谈判】。</w:t>
      </w:r>
    </w:p>
    <w:p w14:paraId="011F18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二、项目概况与采购范围</w:t>
      </w:r>
    </w:p>
    <w:p w14:paraId="68C5B9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1.采购分类：【服务类】；</w:t>
      </w:r>
    </w:p>
    <w:p w14:paraId="49E181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2.所属板块：【货车】；</w:t>
      </w:r>
    </w:p>
    <w:p w14:paraId="12C6BB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3.采购品类：【</w:t>
      </w:r>
      <w:r>
        <w:rPr>
          <w:rStyle w:val="4"/>
          <w:rFonts w:hint="eastAsia"/>
        </w:rPr>
        <w:t>物流服务-物流运输-普货运输</w:t>
      </w:r>
      <w:r>
        <w:rPr>
          <w:rStyle w:val="4"/>
          <w:rFonts w:hint="default"/>
        </w:rPr>
        <w:t>】；</w:t>
      </w:r>
    </w:p>
    <w:p w14:paraId="4073B4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4.本项目概况为:【</w:t>
      </w:r>
      <w:r>
        <w:rPr>
          <w:rStyle w:val="4"/>
          <w:rFonts w:hint="eastAsia"/>
        </w:rPr>
        <w:t>眉山公司2026年进口货物国内段运输</w:t>
      </w:r>
      <w:r>
        <w:rPr>
          <w:rStyle w:val="4"/>
          <w:rFonts w:hint="default"/>
        </w:rPr>
        <w:t>】，详见标段内容</w:t>
      </w:r>
    </w:p>
    <w:p w14:paraId="334F61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5.采购范围：</w:t>
      </w:r>
    </w:p>
    <w:tbl>
      <w:tblPr>
        <w:tblW w:w="7300" w:type="dxa"/>
        <w:jc w:val="center"/>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tblLayout w:type="autofit"/>
        <w:tblCellMar>
          <w:top w:w="0" w:type="dxa"/>
          <w:left w:w="0" w:type="dxa"/>
          <w:bottom w:w="0" w:type="dxa"/>
          <w:right w:w="0" w:type="dxa"/>
        </w:tblCellMar>
      </w:tblPr>
      <w:tblGrid>
        <w:gridCol w:w="1563"/>
        <w:gridCol w:w="2156"/>
        <w:gridCol w:w="509"/>
        <w:gridCol w:w="578"/>
        <w:gridCol w:w="1327"/>
        <w:gridCol w:w="1167"/>
      </w:tblGrid>
      <w:tr w14:paraId="1ED6492B">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tblCellMar>
            <w:top w:w="0" w:type="dxa"/>
            <w:left w:w="0" w:type="dxa"/>
            <w:bottom w:w="0" w:type="dxa"/>
            <w:right w:w="0" w:type="dxa"/>
          </w:tblCellMar>
        </w:tblPrEx>
        <w:trPr>
          <w:trHeight w:val="696" w:hRule="atLeast"/>
          <w:jc w:val="center"/>
        </w:trPr>
        <w:tc>
          <w:tcPr>
            <w:tcW w:w="1476" w:type="dxa"/>
            <w:tcBorders>
              <w:top w:val="single" w:color="D1D1D1" w:sz="4" w:space="0"/>
              <w:left w:val="single" w:color="D1D1D1" w:sz="4" w:space="0"/>
              <w:bottom w:val="single" w:color="D1D1D1" w:sz="6" w:space="0"/>
              <w:right w:val="single" w:color="D1D1D1" w:sz="6" w:space="0"/>
            </w:tcBorders>
            <w:shd w:val="clear" w:color="auto" w:fill="FFFFFF"/>
            <w:tcMar>
              <w:left w:w="101" w:type="dxa"/>
              <w:right w:w="101" w:type="dxa"/>
            </w:tcMar>
            <w:vAlign w:val="center"/>
          </w:tcPr>
          <w:p w14:paraId="7A0F726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标包（标段）号</w:t>
            </w:r>
          </w:p>
        </w:tc>
        <w:tc>
          <w:tcPr>
            <w:tcW w:w="2034" w:type="dxa"/>
            <w:tcBorders>
              <w:top w:val="single" w:color="D1D1D1" w:sz="4" w:space="0"/>
              <w:left w:val="single" w:color="D1D1D1" w:sz="4" w:space="0"/>
              <w:bottom w:val="single" w:color="D1D1D1" w:sz="6" w:space="0"/>
              <w:right w:val="single" w:color="D1D1D1" w:sz="6" w:space="0"/>
            </w:tcBorders>
            <w:shd w:val="clear" w:color="auto" w:fill="FFFFFF"/>
            <w:tcMar>
              <w:left w:w="108" w:type="dxa"/>
              <w:right w:w="101" w:type="dxa"/>
            </w:tcMar>
            <w:vAlign w:val="center"/>
          </w:tcPr>
          <w:p w14:paraId="7F36C6B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标包（标段）名称</w:t>
            </w:r>
          </w:p>
        </w:tc>
        <w:tc>
          <w:tcPr>
            <w:tcW w:w="480" w:type="dxa"/>
            <w:tcBorders>
              <w:top w:val="single" w:color="D1D1D1" w:sz="4" w:space="0"/>
              <w:left w:val="single" w:color="D1D1D1" w:sz="4" w:space="0"/>
              <w:bottom w:val="single" w:color="D1D1D1" w:sz="6" w:space="0"/>
              <w:right w:val="single" w:color="D1D1D1" w:sz="6" w:space="0"/>
            </w:tcBorders>
            <w:shd w:val="clear" w:color="auto" w:fill="FFFFFF"/>
            <w:tcMar>
              <w:left w:w="108" w:type="dxa"/>
              <w:right w:w="101" w:type="dxa"/>
            </w:tcMar>
            <w:vAlign w:val="center"/>
          </w:tcPr>
          <w:p w14:paraId="2578B5D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数量</w:t>
            </w:r>
          </w:p>
        </w:tc>
        <w:tc>
          <w:tcPr>
            <w:tcW w:w="545" w:type="dxa"/>
            <w:tcBorders>
              <w:top w:val="single" w:color="D1D1D1" w:sz="4" w:space="0"/>
              <w:left w:val="single" w:color="D1D1D1" w:sz="4" w:space="0"/>
              <w:bottom w:val="single" w:color="D1D1D1" w:sz="6" w:space="0"/>
              <w:right w:val="single" w:color="D1D1D1" w:sz="6" w:space="0"/>
            </w:tcBorders>
            <w:shd w:val="clear" w:color="auto" w:fill="FFFFFF"/>
            <w:tcMar>
              <w:left w:w="108" w:type="dxa"/>
              <w:right w:w="101" w:type="dxa"/>
            </w:tcMar>
            <w:vAlign w:val="center"/>
          </w:tcPr>
          <w:p w14:paraId="163CA1C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单位</w:t>
            </w:r>
          </w:p>
        </w:tc>
        <w:tc>
          <w:tcPr>
            <w:tcW w:w="1252" w:type="dxa"/>
            <w:tcBorders>
              <w:top w:val="single" w:color="D1D1D1" w:sz="4" w:space="0"/>
              <w:left w:val="single" w:color="D1D1D1" w:sz="4" w:space="0"/>
              <w:bottom w:val="single" w:color="D1D1D1" w:sz="6" w:space="0"/>
              <w:right w:val="single" w:color="D1D1D1" w:sz="6" w:space="0"/>
            </w:tcBorders>
            <w:shd w:val="clear" w:color="auto" w:fill="FFFFFF"/>
            <w:tcMar>
              <w:left w:w="108" w:type="dxa"/>
              <w:right w:w="101" w:type="dxa"/>
            </w:tcMar>
            <w:vAlign w:val="center"/>
          </w:tcPr>
          <w:p w14:paraId="320C7CE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¨施工期¨交货期¨服务期</w:t>
            </w:r>
          </w:p>
        </w:tc>
        <w:tc>
          <w:tcPr>
            <w:tcW w:w="1101" w:type="dxa"/>
            <w:tcBorders>
              <w:top w:val="single" w:color="D1D1D1" w:sz="4" w:space="0"/>
              <w:left w:val="single" w:color="D1D1D1" w:sz="4" w:space="0"/>
              <w:bottom w:val="single" w:color="D1D1D1" w:sz="6" w:space="0"/>
              <w:right w:val="single" w:color="D1D1D1" w:sz="4" w:space="0"/>
            </w:tcBorders>
            <w:shd w:val="clear" w:color="auto" w:fill="FFFFFF"/>
            <w:tcMar>
              <w:left w:w="108" w:type="dxa"/>
              <w:right w:w="101" w:type="dxa"/>
            </w:tcMar>
            <w:vAlign w:val="center"/>
          </w:tcPr>
          <w:p w14:paraId="3BA83F1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备注</w:t>
            </w:r>
          </w:p>
        </w:tc>
      </w:tr>
      <w:tr w14:paraId="3DF32F22">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tblCellMar>
            <w:top w:w="0" w:type="dxa"/>
            <w:left w:w="0" w:type="dxa"/>
            <w:bottom w:w="0" w:type="dxa"/>
            <w:right w:w="0" w:type="dxa"/>
          </w:tblCellMar>
        </w:tblPrEx>
        <w:trPr>
          <w:trHeight w:val="567" w:hRule="atLeast"/>
          <w:jc w:val="center"/>
        </w:trPr>
        <w:tc>
          <w:tcPr>
            <w:tcW w:w="1476" w:type="dxa"/>
            <w:tcBorders>
              <w:top w:val="single" w:color="D1D1D1" w:sz="6" w:space="0"/>
              <w:left w:val="single" w:color="D1D1D1" w:sz="4" w:space="0"/>
              <w:bottom w:val="single" w:color="D1D1D1" w:sz="4" w:space="0"/>
              <w:right w:val="single" w:color="D1D1D1" w:sz="6" w:space="0"/>
            </w:tcBorders>
            <w:shd w:val="clear" w:color="auto" w:fill="FFFFFF"/>
            <w:tcMar>
              <w:left w:w="101" w:type="dxa"/>
              <w:right w:w="101" w:type="dxa"/>
            </w:tcMar>
            <w:vAlign w:val="center"/>
          </w:tcPr>
          <w:p w14:paraId="5D3BE2F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MSZB2025-11-26</w:t>
            </w:r>
          </w:p>
        </w:tc>
        <w:tc>
          <w:tcPr>
            <w:tcW w:w="2034" w:type="dxa"/>
            <w:tcBorders>
              <w:top w:val="single" w:color="D1D1D1" w:sz="6" w:space="0"/>
              <w:left w:val="single" w:color="D1D1D1" w:sz="4" w:space="0"/>
              <w:bottom w:val="single" w:color="D1D1D1" w:sz="4" w:space="0"/>
              <w:right w:val="single" w:color="D1D1D1" w:sz="6" w:space="0"/>
            </w:tcBorders>
            <w:shd w:val="clear" w:color="auto" w:fill="FFFFFF"/>
            <w:tcMar>
              <w:left w:w="108" w:type="dxa"/>
              <w:right w:w="101" w:type="dxa"/>
            </w:tcMar>
            <w:vAlign w:val="center"/>
          </w:tcPr>
          <w:p w14:paraId="4A2EA95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眉山公司2026年进口货物国内段运输</w:t>
            </w:r>
          </w:p>
        </w:tc>
        <w:tc>
          <w:tcPr>
            <w:tcW w:w="480" w:type="dxa"/>
            <w:tcBorders>
              <w:top w:val="single" w:color="D1D1D1" w:sz="6" w:space="0"/>
              <w:left w:val="single" w:color="D1D1D1" w:sz="4" w:space="0"/>
              <w:bottom w:val="single" w:color="D1D1D1" w:sz="4" w:space="0"/>
              <w:right w:val="single" w:color="D1D1D1" w:sz="6" w:space="0"/>
            </w:tcBorders>
            <w:shd w:val="clear" w:color="auto" w:fill="FFFFFF"/>
            <w:tcMar>
              <w:left w:w="108" w:type="dxa"/>
              <w:right w:w="101" w:type="dxa"/>
            </w:tcMar>
            <w:vAlign w:val="center"/>
          </w:tcPr>
          <w:p w14:paraId="4F59BFC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1</w:t>
            </w:r>
          </w:p>
        </w:tc>
        <w:tc>
          <w:tcPr>
            <w:tcW w:w="545" w:type="dxa"/>
            <w:tcBorders>
              <w:top w:val="single" w:color="D1D1D1" w:sz="6" w:space="0"/>
              <w:left w:val="single" w:color="D1D1D1" w:sz="4" w:space="0"/>
              <w:bottom w:val="single" w:color="D1D1D1" w:sz="4" w:space="0"/>
              <w:right w:val="single" w:color="D1D1D1" w:sz="6" w:space="0"/>
            </w:tcBorders>
            <w:shd w:val="clear" w:color="auto" w:fill="FFFFFF"/>
            <w:tcMar>
              <w:left w:w="108" w:type="dxa"/>
              <w:right w:w="101" w:type="dxa"/>
            </w:tcMar>
            <w:vAlign w:val="center"/>
          </w:tcPr>
          <w:p w14:paraId="40054E3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项</w:t>
            </w:r>
          </w:p>
        </w:tc>
        <w:tc>
          <w:tcPr>
            <w:tcW w:w="1252" w:type="dxa"/>
            <w:tcBorders>
              <w:top w:val="single" w:color="D1D1D1" w:sz="6" w:space="0"/>
              <w:left w:val="single" w:color="D1D1D1" w:sz="4" w:space="0"/>
              <w:bottom w:val="single" w:color="D1D1D1" w:sz="4" w:space="0"/>
              <w:right w:val="single" w:color="D1D1D1" w:sz="6" w:space="0"/>
            </w:tcBorders>
            <w:shd w:val="clear" w:color="auto" w:fill="FFFFFF"/>
            <w:tcMar>
              <w:left w:w="108" w:type="dxa"/>
              <w:right w:w="101" w:type="dxa"/>
            </w:tcMar>
            <w:vAlign w:val="center"/>
          </w:tcPr>
          <w:p w14:paraId="7DBC98D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2026年12月31日前完成</w:t>
            </w:r>
          </w:p>
        </w:tc>
        <w:tc>
          <w:tcPr>
            <w:tcW w:w="1101" w:type="dxa"/>
            <w:tcBorders>
              <w:top w:val="single" w:color="D1D1D1" w:sz="6" w:space="0"/>
              <w:left w:val="single" w:color="D1D1D1" w:sz="4" w:space="0"/>
              <w:bottom w:val="single" w:color="D1D1D1" w:sz="4" w:space="0"/>
              <w:right w:val="single" w:color="D1D1D1" w:sz="4" w:space="0"/>
            </w:tcBorders>
            <w:shd w:val="clear" w:color="auto" w:fill="FFFFFF"/>
            <w:tcMar>
              <w:left w:w="108" w:type="dxa"/>
              <w:right w:w="101" w:type="dxa"/>
            </w:tcMar>
            <w:vAlign w:val="center"/>
          </w:tcPr>
          <w:p w14:paraId="26BC9F1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rPr>
                <w:rStyle w:val="4"/>
                <w:rFonts w:hint="eastAsia"/>
              </w:rPr>
            </w:pPr>
            <w:r>
              <w:rPr>
                <w:rStyle w:val="4"/>
                <w:rFonts w:hint="eastAsia"/>
              </w:rPr>
              <w:t> </w:t>
            </w:r>
          </w:p>
        </w:tc>
      </w:tr>
    </w:tbl>
    <w:p w14:paraId="2B8DD8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需求明细清单按本公告“五、</w:t>
      </w:r>
      <w:r>
        <w:rPr>
          <w:rStyle w:val="4"/>
          <w:rFonts w:hint="default"/>
        </w:rPr>
        <w:fldChar w:fldCharType="begin"/>
      </w:r>
      <w:r>
        <w:rPr>
          <w:rStyle w:val="4"/>
          <w:rFonts w:hint="default"/>
        </w:rPr>
        <w:instrText xml:space="preserve"> HYPERLINK "javascript:setPayZixun()" \o "标书制作" </w:instrText>
      </w:r>
      <w:r>
        <w:rPr>
          <w:rStyle w:val="4"/>
          <w:rFonts w:hint="default"/>
        </w:rPr>
        <w:fldChar w:fldCharType="separate"/>
      </w:r>
      <w:r>
        <w:rPr>
          <w:rStyle w:val="4"/>
          <w:rFonts w:hint="default"/>
        </w:rPr>
        <w:t>采购文件</w:t>
      </w:r>
      <w:r>
        <w:rPr>
          <w:rStyle w:val="4"/>
          <w:rFonts w:hint="default"/>
        </w:rPr>
        <w:fldChar w:fldCharType="end"/>
      </w:r>
      <w:r>
        <w:rPr>
          <w:rStyle w:val="4"/>
          <w:rFonts w:hint="default"/>
        </w:rPr>
        <w:t>的获取”方式获得。</w:t>
      </w:r>
    </w:p>
    <w:p w14:paraId="04AEA5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6.交货说明： 【见采购文件】。</w:t>
      </w:r>
    </w:p>
    <w:p w14:paraId="1A131D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7.交货地点： 【采购人指定地点】。</w:t>
      </w:r>
    </w:p>
    <w:p w14:paraId="39E178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420"/>
        <w:jc w:val="left"/>
        <w:rPr>
          <w:rStyle w:val="4"/>
          <w:rFonts w:hint="eastAsia"/>
        </w:rPr>
      </w:pPr>
      <w:r>
        <w:rPr>
          <w:rStyle w:val="4"/>
          <w:rFonts w:hint="default"/>
        </w:rPr>
        <w:t>8.质量标准要求或主要技术性能指标：【按照该项目</w:t>
      </w:r>
      <w:r>
        <w:rPr>
          <w:rStyle w:val="4"/>
          <w:rFonts w:hint="eastAsia"/>
        </w:rPr>
        <w:t>采购文件相关要求执行</w:t>
      </w:r>
      <w:r>
        <w:rPr>
          <w:rStyle w:val="4"/>
          <w:rFonts w:hint="default"/>
        </w:rPr>
        <w:t>】</w:t>
      </w:r>
    </w:p>
    <w:p w14:paraId="3B44BC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420"/>
        <w:jc w:val="left"/>
        <w:rPr>
          <w:rStyle w:val="4"/>
          <w:rFonts w:hint="eastAsia"/>
        </w:rPr>
      </w:pPr>
      <w:r>
        <w:rPr>
          <w:rStyle w:val="4"/>
          <w:rFonts w:hint="default"/>
        </w:rPr>
        <w:t>9.其他：【无】</w:t>
      </w:r>
    </w:p>
    <w:p w14:paraId="08F4DF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三、供应商资格要求</w:t>
      </w:r>
    </w:p>
    <w:p w14:paraId="57A904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1.资格要求。</w:t>
      </w:r>
    </w:p>
    <w:p w14:paraId="2C53DD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1.1.基本要求。（1）供应商为在中华人民共和国境内依法注册，具有独立法人资格的制造商或服务商，符合投标项目经营范围，经税务部门核准登记的一般纳税人。（2）如做为代理商参与，供应商须具有制造商的相关品类或品牌的代理授权书。（3）如有节能、环保、双碳、ESG要求的，应符合国际、国家的相关标准要求。</w:t>
      </w:r>
    </w:p>
    <w:p w14:paraId="2590F1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420"/>
        <w:jc w:val="left"/>
        <w:rPr>
          <w:rStyle w:val="4"/>
          <w:rFonts w:hint="eastAsia"/>
        </w:rPr>
      </w:pPr>
      <w:r>
        <w:rPr>
          <w:rStyle w:val="4"/>
          <w:rFonts w:hint="default"/>
        </w:rPr>
        <w:t>1.2.合格供应商。供应商须具备采购人及实际需求企业关于本项目采购品类的合格供应商资质：【</w:t>
      </w:r>
      <w:r>
        <w:rPr>
          <w:rStyle w:val="4"/>
        </w:rPr>
        <w:t>□</w:t>
      </w:r>
      <w:r>
        <w:rPr>
          <w:rStyle w:val="4"/>
          <w:rFonts w:hint="default"/>
        </w:rPr>
        <w:t>是  </w:t>
      </w:r>
      <w:r>
        <w:rPr>
          <w:rStyle w:val="4"/>
          <w:rFonts w:hint="eastAsia"/>
        </w:rPr>
        <w:t>☑</w:t>
      </w:r>
      <w:r>
        <w:rPr>
          <w:rStyle w:val="4"/>
          <w:rFonts w:hint="default"/>
        </w:rPr>
        <w:t>否】，并具备承担本采购项目的能力。</w:t>
      </w:r>
    </w:p>
    <w:p w14:paraId="4AFDBE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1.3.许可和认证。投标标的物如属于国家颁布生产许可证范围内的，应提供《全国工业产品生产许可证》；如属于行政许可或强制认证的，应提供行政许可或强制认证证书；如属于铁路专用产品认证采信目录内的铁路专用设备，应提供“中铁检验认证中心”（原“中铁铁路产品认证中心”）颁发的CRCC认证证书。</w:t>
      </w:r>
    </w:p>
    <w:p w14:paraId="55F787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1.4.履约</w:t>
      </w:r>
      <w:r>
        <w:rPr>
          <w:rStyle w:val="4"/>
          <w:rFonts w:hint="default"/>
        </w:rPr>
        <w:fldChar w:fldCharType="begin"/>
      </w:r>
      <w:r>
        <w:rPr>
          <w:rStyle w:val="4"/>
          <w:rFonts w:hint="default"/>
        </w:rPr>
        <w:instrText xml:space="preserve"> HYPERLINK "javascript:setPayZixun()" </w:instrText>
      </w:r>
      <w:r>
        <w:rPr>
          <w:rStyle w:val="4"/>
          <w:rFonts w:hint="default"/>
        </w:rPr>
        <w:fldChar w:fldCharType="separate"/>
      </w:r>
      <w:r>
        <w:rPr>
          <w:rStyle w:val="4"/>
          <w:rFonts w:hint="default"/>
        </w:rPr>
        <w:t>信用</w:t>
      </w:r>
      <w:r>
        <w:rPr>
          <w:rStyle w:val="4"/>
          <w:rFonts w:hint="default"/>
        </w:rPr>
        <w:fldChar w:fldCharType="end"/>
      </w:r>
      <w:r>
        <w:rPr>
          <w:rStyle w:val="4"/>
          <w:rFonts w:hint="default"/>
        </w:rPr>
        <w:t>。供应商须具有良好的企业</w:t>
      </w:r>
      <w:r>
        <w:rPr>
          <w:rStyle w:val="4"/>
          <w:rFonts w:hint="default"/>
        </w:rPr>
        <w:fldChar w:fldCharType="begin"/>
      </w:r>
      <w:r>
        <w:rPr>
          <w:rStyle w:val="4"/>
          <w:rFonts w:hint="default"/>
        </w:rPr>
        <w:instrText xml:space="preserve"> HYPERLINK "javascript:setPayZixun()" </w:instrText>
      </w:r>
      <w:r>
        <w:rPr>
          <w:rStyle w:val="4"/>
          <w:rFonts w:hint="default"/>
        </w:rPr>
        <w:fldChar w:fldCharType="separate"/>
      </w:r>
      <w:r>
        <w:rPr>
          <w:rStyle w:val="4"/>
          <w:rFonts w:hint="default"/>
        </w:rPr>
        <w:t>信誉</w:t>
      </w:r>
      <w:r>
        <w:rPr>
          <w:rStyle w:val="4"/>
          <w:rFonts w:hint="default"/>
        </w:rPr>
        <w:fldChar w:fldCharType="end"/>
      </w:r>
      <w:r>
        <w:rPr>
          <w:rStyle w:val="4"/>
          <w:rFonts w:hint="default"/>
        </w:rPr>
        <w:t>，目前未处于被国家相关机构列入严重违法、</w:t>
      </w:r>
      <w:r>
        <w:rPr>
          <w:rStyle w:val="4"/>
          <w:rFonts w:hint="default"/>
        </w:rPr>
        <w:fldChar w:fldCharType="begin"/>
      </w:r>
      <w:r>
        <w:rPr>
          <w:rStyle w:val="4"/>
          <w:rFonts w:hint="default"/>
        </w:rPr>
        <w:instrText xml:space="preserve"> HYPERLINK "javascript:setPayZixun()" </w:instrText>
      </w:r>
      <w:r>
        <w:rPr>
          <w:rStyle w:val="4"/>
          <w:rFonts w:hint="default"/>
        </w:rPr>
        <w:fldChar w:fldCharType="separate"/>
      </w:r>
      <w:r>
        <w:rPr>
          <w:rStyle w:val="4"/>
          <w:rFonts w:hint="default"/>
        </w:rPr>
        <w:t>失信</w:t>
      </w:r>
      <w:r>
        <w:rPr>
          <w:rStyle w:val="4"/>
          <w:rFonts w:hint="default"/>
        </w:rPr>
        <w:fldChar w:fldCharType="end"/>
      </w:r>
      <w:r>
        <w:rPr>
          <w:rStyle w:val="4"/>
          <w:rFonts w:hint="default"/>
        </w:rPr>
        <w:t>等企业名单，本次采购对严重违法或在规定期限内存在失信情形的潜在供应商依法进行限制；供应商目前未处于国家、行业、国铁集团、中国中车和采购人及实际需求企业投标限制期内；供应商目前未处于国铁集团、中国中车和采购人及实际需求企业“黑名单”内。</w:t>
      </w:r>
    </w:p>
    <w:p w14:paraId="787C99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2.联合体参加采购活动要求。</w:t>
      </w:r>
    </w:p>
    <w:p w14:paraId="32318E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2.1本项目是否接受联合体单位参加：【</w:t>
      </w:r>
      <w:r>
        <w:rPr>
          <w:rStyle w:val="4"/>
          <w:rFonts w:hint="eastAsia"/>
        </w:rPr>
        <w:t>□</w:t>
      </w:r>
      <w:r>
        <w:rPr>
          <w:rStyle w:val="4"/>
          <w:rFonts w:hint="default"/>
        </w:rPr>
        <w:t>是  </w:t>
      </w:r>
      <w:r>
        <w:rPr>
          <w:rStyle w:val="4"/>
          <w:rFonts w:hint="eastAsia"/>
        </w:rPr>
        <w:t>☑</w:t>
      </w:r>
      <w:r>
        <w:rPr>
          <w:rStyle w:val="4"/>
          <w:rFonts w:hint="default"/>
        </w:rPr>
        <w:t>否】。</w:t>
      </w:r>
    </w:p>
    <w:p w14:paraId="0D191E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2.2接受联合体单位参加的，联合体应满足上述第1条款规定的资格要求，此外联合体各方还应满足下列要求：【无】。</w:t>
      </w:r>
    </w:p>
    <w:p w14:paraId="633D6C5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default"/>
        </w:rPr>
      </w:pPr>
      <w:r>
        <w:rPr>
          <w:rStyle w:val="4"/>
        </w:rPr>
        <w:t>   </w:t>
      </w:r>
      <w:r>
        <w:rPr>
          <w:rStyle w:val="4"/>
          <w:rFonts w:hint="default"/>
        </w:rPr>
        <w:t>其他要求：</w:t>
      </w:r>
    </w:p>
    <w:p w14:paraId="69B356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须有《道路运输经营许可证》。</w:t>
      </w:r>
    </w:p>
    <w:p w14:paraId="79BD08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四、资格审核要求</w:t>
      </w:r>
    </w:p>
    <w:p w14:paraId="644D10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本项目采用：【</w:t>
      </w:r>
      <w:r>
        <w:rPr>
          <w:rStyle w:val="4"/>
          <w:rFonts w:hint="eastAsia"/>
        </w:rPr>
        <w:t>☑</w:t>
      </w:r>
      <w:r>
        <w:rPr>
          <w:rStyle w:val="4"/>
          <w:rFonts w:hint="default"/>
        </w:rPr>
        <w:t>资格后审  </w:t>
      </w:r>
      <w:r>
        <w:rPr>
          <w:rStyle w:val="4"/>
          <w:rFonts w:hint="eastAsia"/>
        </w:rPr>
        <w:t>□</w:t>
      </w:r>
      <w:r>
        <w:rPr>
          <w:rStyle w:val="4"/>
          <w:rFonts w:hint="default"/>
        </w:rPr>
        <w:t>无资格审查】。</w:t>
      </w:r>
    </w:p>
    <w:p w14:paraId="4700C5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五、采购文件的获取</w:t>
      </w:r>
    </w:p>
    <w:p w14:paraId="05BEC5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420"/>
        <w:jc w:val="left"/>
        <w:rPr>
          <w:rStyle w:val="4"/>
          <w:rFonts w:hint="eastAsia"/>
        </w:rPr>
      </w:pPr>
      <w:r>
        <w:rPr>
          <w:rStyle w:val="4"/>
          <w:rFonts w:hint="default"/>
        </w:rPr>
        <w:t>1.凡有意向参加本项目采购活动的，于2025年11月28日09:30前，登录中车购2.0平台：https://www.crrcgo.cc下载采购文件，点击“我要报名”，填写相关信息，点击“我要响应”完成报名操作。未在报名截止时间前完成报名者，将无法参与本项目。</w:t>
      </w:r>
    </w:p>
    <w:p w14:paraId="205F53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2.下载采购文件。登录“中车购2.0平台”，点击“电子采购”，进入“我的项目”页面，点击“采购文件下载”下载采购文件及其附件。</w:t>
      </w:r>
    </w:p>
    <w:p w14:paraId="232EDB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3.采购文件售价100元（电汇汇入采购人基本账户，请注明项目名称），售后不退。如需开具发票，请提供开票信息。</w:t>
      </w:r>
    </w:p>
    <w:p w14:paraId="306F52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4.供应商如无“中车购2.0平台”登录账号，请按照以下流程进行操作：    </w:t>
      </w:r>
    </w:p>
    <w:p w14:paraId="7C542A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（1）登录网址：https://www.crrcgo.cc，点击“注册”，根据系统提示完成注册。（2）新用户注册可参照首页下方“帮助中心”—“注册指引”—“账号注册指南”进行注册，也可咨询客户服务电话：400-099-6220。</w:t>
      </w:r>
    </w:p>
    <w:p w14:paraId="0D87D2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六、采购</w:t>
      </w:r>
      <w:r>
        <w:rPr>
          <w:rStyle w:val="4"/>
          <w:rFonts w:hint="default"/>
        </w:rPr>
        <w:fldChar w:fldCharType="begin"/>
      </w:r>
      <w:r>
        <w:rPr>
          <w:rStyle w:val="4"/>
          <w:rFonts w:hint="default"/>
        </w:rPr>
        <w:instrText xml:space="preserve"> HYPERLINK "javascript:setPayZixun()" \o "标书制作" </w:instrText>
      </w:r>
      <w:r>
        <w:rPr>
          <w:rStyle w:val="4"/>
          <w:rFonts w:hint="default"/>
        </w:rPr>
        <w:fldChar w:fldCharType="separate"/>
      </w:r>
      <w:r>
        <w:rPr>
          <w:rStyle w:val="4"/>
          <w:rFonts w:hint="default"/>
        </w:rPr>
        <w:t>响应文件</w:t>
      </w:r>
      <w:r>
        <w:rPr>
          <w:rStyle w:val="4"/>
          <w:rFonts w:hint="default"/>
        </w:rPr>
        <w:fldChar w:fldCharType="end"/>
      </w:r>
      <w:r>
        <w:rPr>
          <w:rStyle w:val="4"/>
          <w:rFonts w:hint="default"/>
        </w:rPr>
        <w:t>的递交</w:t>
      </w:r>
    </w:p>
    <w:p w14:paraId="5AD307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1.采购响应文件的递交截止时间为【2025年11月28日09:30前】，采购响应文件递交的方式、地点和要求见采购文件规定。</w:t>
      </w:r>
    </w:p>
    <w:p w14:paraId="0199D3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left"/>
        <w:rPr>
          <w:rStyle w:val="4"/>
          <w:rFonts w:hint="eastAsia"/>
        </w:rPr>
      </w:pPr>
      <w:r>
        <w:rPr>
          <w:rStyle w:val="4"/>
          <w:rFonts w:hint="default"/>
        </w:rPr>
        <w:t>2.供应商逾</w:t>
      </w:r>
      <w:r>
        <w:rPr>
          <w:rStyle w:val="4"/>
          <w:rFonts w:hint="eastAsia"/>
        </w:rPr>
        <w:t>期递交采购响应文件的，采购人将予以拒收。</w:t>
      </w:r>
    </w:p>
    <w:p w14:paraId="750E1E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eastAsia"/>
        </w:rPr>
        <w:t>3.响应文件递交前需缴纳15000元响应保证金，响应保证金应以银行转账方式汇入采购人银行基本账户，未中标的供应商响应保证金予以退还。</w:t>
      </w:r>
    </w:p>
    <w:p w14:paraId="2EF496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七、发布公告媒体</w:t>
      </w:r>
    </w:p>
    <w:p w14:paraId="51906A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本采购公告通过“中车购2.0平台”（http://www.crrcgo.cc）随采购文件同步发布，并在“中车购2.0平台”平台实施线上采购活动。</w:t>
      </w:r>
    </w:p>
    <w:p w14:paraId="77B0BF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八、监督部门</w:t>
      </w:r>
    </w:p>
    <w:p w14:paraId="067570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本项目的监督部门为：</w:t>
      </w:r>
      <w:r>
        <w:rPr>
          <w:rStyle w:val="4"/>
          <w:rFonts w:hint="eastAsia"/>
        </w:rPr>
        <w:t>中车眉山车辆有限公司纪委（投诉电话：028-38502291）</w:t>
      </w:r>
      <w:r>
        <w:rPr>
          <w:rStyle w:val="4"/>
          <w:rFonts w:hint="default"/>
        </w:rPr>
        <w:t>。</w:t>
      </w:r>
    </w:p>
    <w:p w14:paraId="473E89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九、联系方式</w:t>
      </w:r>
    </w:p>
    <w:p w14:paraId="7FAAAB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联 系 人：【杨丹】  </w:t>
      </w:r>
    </w:p>
    <w:p w14:paraId="32AA4F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电    话：【13890308818】 </w:t>
      </w:r>
    </w:p>
    <w:p w14:paraId="341432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电子邮箱：【010800006724@crrcgc.cc】</w:t>
      </w:r>
    </w:p>
    <w:p w14:paraId="1DFFCB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地    址：【</w:t>
      </w:r>
      <w:r>
        <w:rPr>
          <w:rStyle w:val="4"/>
          <w:rFonts w:hint="eastAsia"/>
        </w:rPr>
        <w:t>四川省眉山市东坡区思蒙镇</w:t>
      </w:r>
      <w:r>
        <w:rPr>
          <w:rStyle w:val="4"/>
          <w:rFonts w:hint="default"/>
        </w:rPr>
        <w:t>】   </w:t>
      </w:r>
    </w:p>
    <w:p w14:paraId="08C0FB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left"/>
        <w:rPr>
          <w:rStyle w:val="4"/>
          <w:rFonts w:hint="eastAsia"/>
        </w:rPr>
      </w:pPr>
      <w:r>
        <w:rPr>
          <w:rStyle w:val="4"/>
          <w:rFonts w:hint="default"/>
        </w:rPr>
        <w:t>邮    编：【620032】 </w:t>
      </w:r>
    </w:p>
    <w:p w14:paraId="78665F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420"/>
        <w:jc w:val="both"/>
        <w:rPr>
          <w:rStyle w:val="4"/>
          <w:rFonts w:hint="eastAsia"/>
        </w:rPr>
      </w:pPr>
      <w:r>
        <w:rPr>
          <w:rStyle w:val="4"/>
          <w:rFonts w:hint="eastAsia"/>
        </w:rPr>
        <w:t>十、采购人信息</w:t>
      </w:r>
    </w:p>
    <w:p w14:paraId="3C336F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420"/>
        <w:jc w:val="both"/>
        <w:rPr>
          <w:rStyle w:val="4"/>
          <w:rFonts w:hint="eastAsia"/>
        </w:rPr>
      </w:pPr>
      <w:r>
        <w:rPr>
          <w:rStyle w:val="4"/>
          <w:rFonts w:hint="eastAsia"/>
        </w:rPr>
        <w:t>采购人：中车眉山车辆有限公司 </w:t>
      </w:r>
    </w:p>
    <w:p w14:paraId="4D0883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420"/>
        <w:jc w:val="both"/>
        <w:rPr>
          <w:rStyle w:val="4"/>
          <w:rFonts w:hint="eastAsia"/>
        </w:rPr>
      </w:pPr>
      <w:r>
        <w:rPr>
          <w:rStyle w:val="4"/>
          <w:rFonts w:hint="eastAsia"/>
        </w:rPr>
        <w:t>统一社会信用代码：91511400662787535Q    </w:t>
      </w:r>
    </w:p>
    <w:p w14:paraId="125C99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420"/>
        <w:jc w:val="both"/>
        <w:rPr>
          <w:rStyle w:val="4"/>
          <w:rFonts w:hint="eastAsia"/>
        </w:rPr>
      </w:pPr>
      <w:r>
        <w:rPr>
          <w:rStyle w:val="4"/>
          <w:rFonts w:hint="eastAsia"/>
        </w:rPr>
        <w:t>地址：四川省眉山市东坡区思蒙镇  </w:t>
      </w:r>
    </w:p>
    <w:p w14:paraId="61A409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420"/>
        <w:jc w:val="both"/>
        <w:rPr>
          <w:rStyle w:val="4"/>
          <w:rFonts w:hint="eastAsia"/>
        </w:rPr>
      </w:pPr>
      <w:r>
        <w:rPr>
          <w:rStyle w:val="4"/>
          <w:rFonts w:hint="eastAsia"/>
        </w:rPr>
        <w:t>邮政编码：620032  </w:t>
      </w:r>
    </w:p>
    <w:p w14:paraId="053CA7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420"/>
        <w:jc w:val="both"/>
        <w:rPr>
          <w:rStyle w:val="4"/>
          <w:rFonts w:hint="eastAsia"/>
        </w:rPr>
      </w:pPr>
      <w:r>
        <w:rPr>
          <w:rStyle w:val="4"/>
          <w:rFonts w:hint="eastAsia"/>
        </w:rPr>
        <w:t>开户银行：中国工商银行股份有限公司眉山分行</w:t>
      </w:r>
    </w:p>
    <w:p w14:paraId="4D5207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420"/>
        <w:jc w:val="both"/>
        <w:rPr>
          <w:rStyle w:val="4"/>
          <w:rFonts w:hint="eastAsia"/>
        </w:rPr>
      </w:pPr>
      <w:r>
        <w:rPr>
          <w:rStyle w:val="4"/>
          <w:rFonts w:hint="eastAsia"/>
        </w:rPr>
        <w:t>账号：2313399609100005638                                   </w:t>
      </w:r>
    </w:p>
    <w:p w14:paraId="6B2A24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60" w:lineRule="atLeast"/>
        <w:ind w:left="0" w:right="0" w:firstLine="0"/>
        <w:jc w:val="both"/>
        <w:rPr>
          <w:rStyle w:val="4"/>
          <w:rFonts w:hint="eastAsia"/>
        </w:rPr>
      </w:pPr>
      <w:r>
        <w:rPr>
          <w:rStyle w:val="4"/>
          <w:rFonts w:hint="default"/>
        </w:rPr>
        <w:t>    </w:t>
      </w:r>
    </w:p>
    <w:p w14:paraId="3F9A2A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410"/>
        <w:jc w:val="both"/>
        <w:rPr>
          <w:rStyle w:val="4"/>
          <w:rFonts w:hint="eastAsia"/>
        </w:rPr>
      </w:pPr>
      <w:r>
        <w:rPr>
          <w:rStyle w:val="4"/>
          <w:rFonts w:hint="default"/>
        </w:rPr>
        <w:t> </w:t>
      </w:r>
    </w:p>
    <w:p w14:paraId="71DBBE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410"/>
        <w:jc w:val="right"/>
        <w:rPr>
          <w:rStyle w:val="4"/>
          <w:rFonts w:hint="eastAsia"/>
        </w:rPr>
      </w:pPr>
      <w:r>
        <w:rPr>
          <w:rStyle w:val="4"/>
          <w:rFonts w:hint="default"/>
        </w:rPr>
        <w:t>    </w:t>
      </w:r>
      <w:r>
        <w:rPr>
          <w:rStyle w:val="4"/>
          <w:rFonts w:hint="eastAsia"/>
        </w:rPr>
        <w:t>采购人（盖章）：【中车眉山车辆有限公司】</w:t>
      </w:r>
    </w:p>
    <w:p w14:paraId="5C3FC5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1670"/>
        <w:jc w:val="right"/>
        <w:rPr>
          <w:rStyle w:val="4"/>
          <w:rFonts w:hint="eastAsia"/>
        </w:rPr>
      </w:pPr>
      <w:r>
        <w:rPr>
          <w:rStyle w:val="4"/>
          <w:rFonts w:hint="eastAsia"/>
        </w:rPr>
        <w:t>日期：【2025-11-1</w:t>
      </w:r>
    </w:p>
    <w:p w14:paraId="33765105">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00"/>
    <w:family w:val="auto"/>
    <w:pitch w:val="default"/>
    <w:sig w:usb0="00000000" w:usb1="00000000" w:usb2="00000000" w:usb3="00000000" w:csb0="00000000" w:csb1="00000000"/>
  </w:font>
  <w:font w:name="CESI宋体-GB2312">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7553C6"/>
    <w:multiLevelType w:val="multilevel"/>
    <w:tmpl w:val="977553C6"/>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BE5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2025-11-19T01:32:00Z</dcterms:created>
  <dc:creator>28039</dc:creator>
  <cp:lastModifiedBy>璇儿</cp:lastModifiedBy>
  <dcterms:modified xsi:type="dcterms:W3CDTF">2025-11-19T01:32:45Z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D70076F0C3BF4A0C945E39A45D8D029C_12</vt:lpwstr>
  </property>
</Properties>
</file>