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BCE6B" w14:textId="6255A771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苏州通产丽星包装科技有限公司2025-2026年度</w:t>
      </w:r>
      <w:r w:rsidR="001E66B3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长途</w:t>
      </w: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物流运输招标公告</w:t>
      </w:r>
    </w:p>
    <w:p w14:paraId="360A9DD0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一、招标项目</w:t>
      </w:r>
      <w:r>
        <w:rPr>
          <w:rFonts w:hint="eastAsia"/>
          <w:noProof/>
          <w:lang w:eastAsia="zh-CN"/>
        </w:rPr>
        <w:br/>
      </w:r>
    </w:p>
    <w:p w14:paraId="5054FE37" w14:textId="0B058CB2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苏州通产丽星物流</w:t>
      </w:r>
      <w:r w:rsidR="001E66B3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长途</w:t>
      </w: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运输招标项目，由深圳通产丽星科技集团有限公司代理招标。</w:t>
      </w:r>
    </w:p>
    <w:p w14:paraId="67A97306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二、项目概况</w:t>
      </w:r>
      <w:r>
        <w:rPr>
          <w:rFonts w:hint="eastAsia"/>
          <w:noProof/>
          <w:lang w:eastAsia="zh-CN"/>
        </w:rPr>
        <w:br/>
      </w:r>
    </w:p>
    <w:p w14:paraId="6AAE8E5C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为满足公司业务拓展需求，保障高端化妆品、食品、保健品等供应链整合产品的高效、安全配送，现公开招标2025-2026年度国内运输服务商。</w:t>
      </w:r>
    </w:p>
    <w:p w14:paraId="45984FD0" w14:textId="77777777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三、招标范围 </w:t>
      </w:r>
    </w:p>
    <w:p w14:paraId="7F3ACA15" w14:textId="77777777" w:rsidR="00DB1603" w:rsidRDefault="00000000">
      <w:pPr>
        <w:numPr>
          <w:ilvl w:val="0"/>
          <w:numId w:val="1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运输线路：详见《苏州通产丽星2025-2026年度物流运输招标项目—控制价表》。 </w:t>
      </w:r>
    </w:p>
    <w:p w14:paraId="0D677A93" w14:textId="77777777" w:rsidR="00DB1603" w:rsidRDefault="00000000">
      <w:pPr>
        <w:numPr>
          <w:ilvl w:val="0"/>
          <w:numId w:val="1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卸货责任：投标方需自行安排人员卸货，并承担卸货过程中的人员安全事故责任。若客户收取卸货费，由投标方自行承担。 </w:t>
      </w:r>
    </w:p>
    <w:p w14:paraId="55D5FF17" w14:textId="6EF338B1" w:rsidR="00DB1603" w:rsidRDefault="00000000">
      <w:pPr>
        <w:numPr>
          <w:ilvl w:val="0"/>
          <w:numId w:val="1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报价范围：报价需包含运输至指定地点的运费、保险费、税费，以及回程周转材料及退货产品。</w:t>
      </w:r>
    </w:p>
    <w:p w14:paraId="0DA7FD36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四、服务期限</w:t>
      </w:r>
      <w:r>
        <w:rPr>
          <w:rFonts w:hint="eastAsia"/>
          <w:noProof/>
          <w:lang w:eastAsia="zh-CN"/>
        </w:rPr>
        <w:br/>
      </w:r>
    </w:p>
    <w:p w14:paraId="00A9AAA8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合同期限为“1+1”年，即首期1年（自签订之日起计算），首期届满后，若投标方年度合作评价达优秀标准且双方同意，可续期1年。</w:t>
      </w:r>
    </w:p>
    <w:p w14:paraId="08049EB0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五、投标限价</w:t>
      </w:r>
      <w:r>
        <w:rPr>
          <w:rFonts w:hint="eastAsia"/>
          <w:noProof/>
          <w:lang w:eastAsia="zh-CN"/>
        </w:rPr>
        <w:br/>
      </w:r>
    </w:p>
    <w:p w14:paraId="34488D7F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各线路控制金额详见《苏州通产丽星2025-2026年度物流运输招标项目--服务需求表》，投标报价不得超过限价，否则视为废标。</w:t>
      </w:r>
    </w:p>
    <w:p w14:paraId="5E691205" w14:textId="77777777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lastRenderedPageBreak/>
        <w:t xml:space="preserve">六、资格要求 </w:t>
      </w:r>
    </w:p>
    <w:p w14:paraId="7FE539F1" w14:textId="77777777" w:rsidR="00DB1603" w:rsidRDefault="00000000">
      <w:pPr>
        <w:numPr>
          <w:ilvl w:val="0"/>
          <w:numId w:val="2"/>
        </w:num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企业资质： </w:t>
      </w:r>
    </w:p>
    <w:p w14:paraId="17ECDF45" w14:textId="77777777" w:rsidR="00DB1603" w:rsidRDefault="00000000">
      <w:pPr>
        <w:numPr>
          <w:ilvl w:val="1"/>
          <w:numId w:val="3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中华人民共和国境内注册的独立法人，实缴资本≥50万元，主营业务为运输或相关业务。 </w:t>
      </w:r>
    </w:p>
    <w:p w14:paraId="753E1256" w14:textId="77777777" w:rsidR="00DB1603" w:rsidRDefault="00000000">
      <w:pPr>
        <w:numPr>
          <w:ilvl w:val="1"/>
          <w:numId w:val="3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需提供营业执照复印件、2024年业绩证明（财务报表/审计报告/付款发票等）及企业信用信息网页截图（均需加盖公章）。 </w:t>
      </w:r>
    </w:p>
    <w:p w14:paraId="695256E4" w14:textId="77777777" w:rsidR="00DB1603" w:rsidRDefault="00000000">
      <w:pPr>
        <w:numPr>
          <w:ilvl w:val="0"/>
          <w:numId w:val="4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行业资质：具有道路运输营运许可证（提供复印件并加盖公章）。 </w:t>
      </w:r>
    </w:p>
    <w:p w14:paraId="16DC472A" w14:textId="249AD121" w:rsidR="00DB1603" w:rsidRDefault="00000000">
      <w:pPr>
        <w:numPr>
          <w:ilvl w:val="0"/>
          <w:numId w:val="4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业绩要求：2021-2024年连续三年主营业务收入≥500万元。 </w:t>
      </w:r>
    </w:p>
    <w:p w14:paraId="1BA2E409" w14:textId="77777777" w:rsidR="00DB1603" w:rsidRDefault="00000000">
      <w:pPr>
        <w:numPr>
          <w:ilvl w:val="0"/>
          <w:numId w:val="4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投标形式：不接受联合体投标。</w:t>
      </w:r>
    </w:p>
    <w:p w14:paraId="5312F593" w14:textId="77777777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七、计价与付款 </w:t>
      </w:r>
    </w:p>
    <w:p w14:paraId="1963ED1C" w14:textId="77777777" w:rsidR="00DB1603" w:rsidRDefault="00000000">
      <w:pPr>
        <w:numPr>
          <w:ilvl w:val="0"/>
          <w:numId w:val="5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报价方式：以招标人指定目的地交货含税价报价，按《服务需求表》模板进行1轮报价，币种为人民币。 </w:t>
      </w:r>
    </w:p>
    <w:p w14:paraId="298C0372" w14:textId="77777777" w:rsidR="00DB1603" w:rsidRDefault="00000000">
      <w:pPr>
        <w:numPr>
          <w:ilvl w:val="0"/>
          <w:numId w:val="5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付款条件：每月15日前提交上月客户签收回执，招标方于每月20日前核对运费，收到税率为9%的运输增值税专用发票后60日内支付。</w:t>
      </w:r>
    </w:p>
    <w:p w14:paraId="7B6CEFB2" w14:textId="77777777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八、保证金 </w:t>
      </w:r>
    </w:p>
    <w:p w14:paraId="1D348437" w14:textId="77777777" w:rsidR="00DB1603" w:rsidRDefault="00000000">
      <w:pPr>
        <w:numPr>
          <w:ilvl w:val="0"/>
          <w:numId w:val="6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履约保证金：5万元，需以银行保函或现金转账形式提交，保函须为无条件、不可撤销、见索即付。</w:t>
      </w:r>
    </w:p>
    <w:p w14:paraId="02C0F1E6" w14:textId="3C80AADA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>九、</w:t>
      </w:r>
      <w:r w:rsidR="001E66B3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评标</w:t>
      </w: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与中标 </w:t>
      </w:r>
    </w:p>
    <w:p w14:paraId="3F0CB5B5" w14:textId="243BC900" w:rsidR="00DB1603" w:rsidRDefault="001E66B3">
      <w:pPr>
        <w:numPr>
          <w:ilvl w:val="0"/>
          <w:numId w:val="7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评标</w:t>
      </w:r>
      <w:r w:rsidR="00000000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方式：采用“</w:t>
      </w: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合理低价法</w:t>
      </w:r>
      <w:r w:rsidR="00000000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”</w:t>
      </w: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。</w:t>
      </w:r>
      <w:r w:rsidR="00000000"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 </w:t>
      </w:r>
    </w:p>
    <w:p w14:paraId="65A3C096" w14:textId="77777777" w:rsidR="00DB1603" w:rsidRDefault="00000000">
      <w:pPr>
        <w:numPr>
          <w:ilvl w:val="0"/>
          <w:numId w:val="7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中标规则：综合评标排名第一的供应商为主承运商，第二名为备选承运商。</w:t>
      </w:r>
    </w:p>
    <w:p w14:paraId="5620378C" w14:textId="77777777" w:rsidR="00DB1603" w:rsidRDefault="00000000">
      <w:pPr>
        <w:spacing w:line="288" w:lineRule="auto"/>
        <w:ind w:firstLineChars="200" w:firstLine="480"/>
        <w:jc w:val="left"/>
      </w:pPr>
      <w:r>
        <w:rPr>
          <w:rFonts w:ascii="微软雅黑" w:eastAsia="微软雅黑" w:hAnsi="微软雅黑" w:hint="eastAsia"/>
          <w:noProof/>
          <w:color w:val="000000"/>
          <w:sz w:val="24"/>
        </w:rPr>
        <w:t xml:space="preserve">十、特别说明 </w:t>
      </w:r>
    </w:p>
    <w:p w14:paraId="2CFFD5C5" w14:textId="77777777" w:rsidR="00DB1603" w:rsidRDefault="00000000">
      <w:pPr>
        <w:numPr>
          <w:ilvl w:val="0"/>
          <w:numId w:val="8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lastRenderedPageBreak/>
        <w:t xml:space="preserve">招标文件内容不一致时，以有利于招标方的要求为准。 </w:t>
      </w:r>
    </w:p>
    <w:p w14:paraId="6DB8AD39" w14:textId="77777777" w:rsidR="00DB1603" w:rsidRDefault="00000000">
      <w:pPr>
        <w:numPr>
          <w:ilvl w:val="0"/>
          <w:numId w:val="8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招标人保留否决所有投标的权利，且不承诺选择最低价或排序最前者。 </w:t>
      </w:r>
    </w:p>
    <w:p w14:paraId="60DA488F" w14:textId="77777777" w:rsidR="00DB1603" w:rsidRDefault="00000000">
      <w:pPr>
        <w:numPr>
          <w:ilvl w:val="0"/>
          <w:numId w:val="8"/>
        </w:num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有权拒绝有不良行为记录或履约评价不佳的投标人。</w:t>
      </w:r>
    </w:p>
    <w:p w14:paraId="311E82AC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十一、投标期限</w:t>
      </w:r>
      <w:r>
        <w:rPr>
          <w:rFonts w:hint="eastAsia"/>
          <w:noProof/>
          <w:lang w:eastAsia="zh-CN"/>
        </w:rPr>
        <w:br/>
      </w:r>
    </w:p>
    <w:p w14:paraId="7A87C976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以阳光平台公布时间为准。</w:t>
      </w:r>
    </w:p>
    <w:p w14:paraId="4648B0EC" w14:textId="77777777" w:rsidR="00DB1603" w:rsidRDefault="00000000">
      <w:pPr>
        <w:spacing w:line="288" w:lineRule="auto"/>
        <w:ind w:firstLineChars="200" w:firstLine="4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 xml:space="preserve">注：投标人需根据招标要求编制详细方案并附证明材料，招标最终解释权归招标人所有。 </w:t>
      </w:r>
    </w:p>
    <w:p w14:paraId="6DB82DB7" w14:textId="03D2C8B4" w:rsidR="00DB1603" w:rsidRDefault="00000000" w:rsidP="001E66B3">
      <w:pPr>
        <w:spacing w:line="288" w:lineRule="auto"/>
        <w:ind w:firstLineChars="1700" w:firstLine="4080"/>
        <w:jc w:val="left"/>
        <w:rPr>
          <w:lang w:eastAsia="zh-CN"/>
        </w:rPr>
      </w:pPr>
      <w:r>
        <w:rPr>
          <w:rFonts w:ascii="微软雅黑" w:eastAsia="微软雅黑" w:hAnsi="微软雅黑" w:hint="eastAsia"/>
          <w:noProof/>
          <w:color w:val="000000"/>
          <w:sz w:val="24"/>
          <w:lang w:eastAsia="zh-CN"/>
        </w:rPr>
        <w:t>苏州通产丽星包装科技有限公司</w:t>
      </w:r>
    </w:p>
    <w:sectPr w:rsidR="00DB16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7BA8F" w14:textId="77777777" w:rsidR="006B41CF" w:rsidRDefault="006B41CF" w:rsidP="001E66B3">
      <w:r>
        <w:separator/>
      </w:r>
    </w:p>
  </w:endnote>
  <w:endnote w:type="continuationSeparator" w:id="0">
    <w:p w14:paraId="77B84956" w14:textId="77777777" w:rsidR="006B41CF" w:rsidRDefault="006B41CF" w:rsidP="001E6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1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0B4E8" w14:textId="77777777" w:rsidR="006B41CF" w:rsidRDefault="006B41CF" w:rsidP="001E66B3">
      <w:r>
        <w:separator/>
      </w:r>
    </w:p>
  </w:footnote>
  <w:footnote w:type="continuationSeparator" w:id="0">
    <w:p w14:paraId="48752D00" w14:textId="77777777" w:rsidR="006B41CF" w:rsidRDefault="006B41CF" w:rsidP="001E66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752FA"/>
    <w:multiLevelType w:val="hybridMultilevel"/>
    <w:tmpl w:val="02A60B6E"/>
    <w:lvl w:ilvl="0" w:tplc="E6249484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1CE974C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A69E9D5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EE76B0A0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64F22E42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23EEAFBE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9F089AA6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82323754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2202FF0E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D48018A"/>
    <w:multiLevelType w:val="hybridMultilevel"/>
    <w:tmpl w:val="8E643F78"/>
    <w:lvl w:ilvl="0" w:tplc="65224AD2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EC087B46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92427866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6C5A4750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42A630A6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C4BC1536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16924D8E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A03CBE9A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CC462006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E42719"/>
    <w:multiLevelType w:val="hybridMultilevel"/>
    <w:tmpl w:val="5E649F0E"/>
    <w:lvl w:ilvl="0" w:tplc="42A2B26E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BC2C8934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EFB47CB4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93AE1A88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17F43744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892E2B60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56661B44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6D0A9436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729C3CC0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2BB13DE"/>
    <w:multiLevelType w:val="hybridMultilevel"/>
    <w:tmpl w:val="E288233E"/>
    <w:lvl w:ilvl="0" w:tplc="55089990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B9B03630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2" w:tplc="58204E70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8B4EDBE6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98EAD6FA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D3144F78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3F306FFC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A8101F7E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74B48C1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D212ECC"/>
    <w:multiLevelType w:val="hybridMultilevel"/>
    <w:tmpl w:val="1DF0C810"/>
    <w:lvl w:ilvl="0" w:tplc="8AEAA2BE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 w:tplc="D39A5C10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3180743A">
      <w:start w:val="1"/>
      <w:numFmt w:val="lowerRoman"/>
      <w:lvlText w:val="%3."/>
      <w:lvlJc w:val="left"/>
      <w:pPr>
        <w:tabs>
          <w:tab w:val="num" w:pos="1320"/>
        </w:tabs>
        <w:ind w:left="1320" w:hanging="440"/>
      </w:pPr>
      <w:rPr>
        <w:rFonts w:hint="default"/>
      </w:rPr>
    </w:lvl>
    <w:lvl w:ilvl="3" w:tplc="3C5872CA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0B42653E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8E9C732E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06D80E22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99C820B2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B2F2944C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abstractNum w:abstractNumId="5" w15:restartNumberingAfterBreak="0">
    <w:nsid w:val="611F334D"/>
    <w:multiLevelType w:val="hybridMultilevel"/>
    <w:tmpl w:val="91724292"/>
    <w:lvl w:ilvl="0" w:tplc="4F3ADDCC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 w:tplc="661EF1F8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6ECCF8C8">
      <w:start w:val="1"/>
      <w:numFmt w:val="lowerRoman"/>
      <w:lvlText w:val="%3."/>
      <w:lvlJc w:val="left"/>
      <w:pPr>
        <w:tabs>
          <w:tab w:val="num" w:pos="1320"/>
        </w:tabs>
        <w:ind w:left="1320" w:hanging="440"/>
      </w:pPr>
      <w:rPr>
        <w:rFonts w:hint="default"/>
      </w:rPr>
    </w:lvl>
    <w:lvl w:ilvl="3" w:tplc="9DBE212A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8960C626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351CE69C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A1BEA024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10249EAA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596A9692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abstractNum w:abstractNumId="6" w15:restartNumberingAfterBreak="0">
    <w:nsid w:val="74995CE9"/>
    <w:multiLevelType w:val="hybridMultilevel"/>
    <w:tmpl w:val="3D986074"/>
    <w:lvl w:ilvl="0" w:tplc="D54EA856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 w:tplc="8AF69C6A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2998F77A">
      <w:start w:val="1"/>
      <w:numFmt w:val="lowerRoman"/>
      <w:lvlText w:val="%3."/>
      <w:lvlJc w:val="left"/>
      <w:pPr>
        <w:tabs>
          <w:tab w:val="num" w:pos="1320"/>
        </w:tabs>
        <w:ind w:left="1320" w:hanging="440"/>
      </w:pPr>
      <w:rPr>
        <w:rFonts w:hint="default"/>
      </w:rPr>
    </w:lvl>
    <w:lvl w:ilvl="3" w:tplc="A67695E6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1550FA1C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98D47286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E2185568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FB4E6164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9E78FBAA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abstractNum w:abstractNumId="7" w15:restartNumberingAfterBreak="0">
    <w:nsid w:val="7F566660"/>
    <w:multiLevelType w:val="hybridMultilevel"/>
    <w:tmpl w:val="7444DBE4"/>
    <w:lvl w:ilvl="0" w:tplc="4F10AE38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 w:tplc="1F0459C8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C12C6472">
      <w:start w:val="1"/>
      <w:numFmt w:val="lowerRoman"/>
      <w:lvlText w:val="%3."/>
      <w:lvlJc w:val="left"/>
      <w:pPr>
        <w:tabs>
          <w:tab w:val="num" w:pos="1320"/>
        </w:tabs>
        <w:ind w:left="1320" w:hanging="440"/>
      </w:pPr>
      <w:rPr>
        <w:rFonts w:hint="default"/>
      </w:rPr>
    </w:lvl>
    <w:lvl w:ilvl="3" w:tplc="D5DE6438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0E8C9034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A56826F6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22764F30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3C841B28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4B58D096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num w:numId="1" w16cid:durableId="318047212">
    <w:abstractNumId w:val="4"/>
  </w:num>
  <w:num w:numId="2" w16cid:durableId="379867719">
    <w:abstractNumId w:val="5"/>
  </w:num>
  <w:num w:numId="3" w16cid:durableId="536940817">
    <w:abstractNumId w:val="3"/>
  </w:num>
  <w:num w:numId="4" w16cid:durableId="2046758032">
    <w:abstractNumId w:val="7"/>
  </w:num>
  <w:num w:numId="5" w16cid:durableId="1205750921">
    <w:abstractNumId w:val="1"/>
  </w:num>
  <w:num w:numId="6" w16cid:durableId="88889814">
    <w:abstractNumId w:val="0"/>
  </w:num>
  <w:num w:numId="7" w16cid:durableId="2108425246">
    <w:abstractNumId w:val="2"/>
  </w:num>
  <w:num w:numId="8" w16cid:durableId="1193030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603"/>
    <w:rsid w:val="001E66B3"/>
    <w:rsid w:val="006B41CF"/>
    <w:rsid w:val="007B667D"/>
    <w:rsid w:val="00DB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2C4298"/>
  <w15:docId w15:val="{D4633174-7531-460A-AA5E-9DD96640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0" w:line="240" w:lineRule="auto"/>
      <w:jc w:val="both"/>
    </w:pPr>
    <w:rPr>
      <w:rFonts w:ascii="Calibri" w:eastAsia="等线" w:hAnsi="Calibri" w:cs="21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841CD9"/>
  </w:style>
  <w:style w:type="character" w:customStyle="1" w:styleId="10">
    <w:name w:val="标题 1 字符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标题 字符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E6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1E66B3"/>
    <w:rPr>
      <w:rFonts w:ascii="Calibri" w:eastAsia="等线" w:hAnsi="Calibri" w:cs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507</Words>
  <Characters>538</Characters>
  <Application>Microsoft Office Word</Application>
  <DocSecurity>0</DocSecurity>
  <Lines>29</Lines>
  <Paragraphs>36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fox super</dc:creator>
  <cp:lastModifiedBy>fox super</cp:lastModifiedBy>
  <cp:revision>2</cp:revision>
  <dcterms:created xsi:type="dcterms:W3CDTF">2025-11-21T01:32:00Z</dcterms:created>
  <dcterms:modified xsi:type="dcterms:W3CDTF">2025-11-21T01:32:00Z</dcterms:modified>
</cp:coreProperties>
</file>