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E05A9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bookmarkStart w:id="0" w:name="_GoBack"/>
      <w:r>
        <w:rPr>
          <w:rStyle w:val="4"/>
        </w:rPr>
        <w:t>采购公告</w:t>
      </w:r>
    </w:p>
    <w:p w14:paraId="3E3011E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公告编号：SHXYGG202511240017</w:t>
      </w:r>
    </w:p>
    <w:p w14:paraId="6016EFC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一、采购项目基本情况</w:t>
      </w:r>
    </w:p>
    <w:p w14:paraId="7F6FCD5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采购人：华润双鹤药业股份有限公司</w:t>
      </w:r>
    </w:p>
    <w:p w14:paraId="4625614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采购项目编号：CGFA20251031001-1</w:t>
      </w:r>
    </w:p>
    <w:p w14:paraId="3C222B9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采购项目名称：华润双鹤工业园事业部2025年万辉电动前移式叉车采购项目</w:t>
      </w:r>
    </w:p>
    <w:p w14:paraId="0BBC298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采购内容和范围：仓库现有一台电动前移式叉车，因为产量增加，使用时间及频次增加，叉车充电频率也增多，但在充电期间，无法进行物料搬运，现申请新购一台电动前移式叉车，交替充电使用。</w:t>
      </w:r>
    </w:p>
    <w:p w14:paraId="07FB464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二、供应商资格要求</w:t>
      </w:r>
    </w:p>
    <w:p w14:paraId="65533E1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1. 资格要求:a具有中华人民共和国独立法人资格并取得有效的企业营业执照；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2. 业绩要求:供应商自自2022年1月1日至投标截止日日期间签订的至少3个同类合同3台以上，需提供相关合同扫描件，(至少包含首页、范围页、签字页）。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3. 信誉要求:不得存在以下任何一种情形：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a 供应商（含联合体投标的成员单位）未被国家企业信用信息公示系统网站（www.gsxt.gov.cn）列入严重违法失信企业名单（如：提供网站查询界面截图）；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b 供应商（含联合体投标的成员单位）未被国家公共信用信息中心“信用中国”网（www.creditchina.gov.cn）列入失信惩戒名单（如：提供网站查询界面截图）；</w:t>
      </w:r>
    </w:p>
    <w:p w14:paraId="6B5E9B2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三、采购文件的获取</w:t>
      </w:r>
    </w:p>
    <w:p w14:paraId="00C05C9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采购文件在华润守正采购交易平台发布，不再另行线下提供纸质采购文件，凡有意参与者请自行登录守正平台查看和下载采购文件。</w:t>
      </w:r>
    </w:p>
    <w:p w14:paraId="3789C19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四、响应文件的提交</w:t>
      </w:r>
    </w:p>
    <w:p w14:paraId="0E67BDF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响应文件提交/报价截止时间： 2025-11-28 12:00:00 （北京时间，若有变化另行通知）。</w:t>
      </w:r>
    </w:p>
    <w:p w14:paraId="4932DA7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响应文件提交/报价方式：在响应文件提交/报价截止时间前，通过华润守正采购交易平台提交电子响应文件或报价，逾期提交将被拒收。</w:t>
      </w:r>
    </w:p>
    <w:p w14:paraId="56C9D93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五、采购人联系方式</w:t>
      </w:r>
    </w:p>
    <w:p w14:paraId="631C574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联系人：李兆兴</w:t>
      </w:r>
    </w:p>
    <w:p w14:paraId="1903245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电话：13521476307</w:t>
      </w:r>
    </w:p>
    <w:p w14:paraId="11A0F48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邮箱：lizhaoxing5@dcpc.com</w:t>
      </w:r>
    </w:p>
    <w:p w14:paraId="2891704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六、采购明细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65"/>
        <w:gridCol w:w="5245"/>
        <w:gridCol w:w="1015"/>
        <w:gridCol w:w="565"/>
        <w:gridCol w:w="1016"/>
      </w:tblGrid>
      <w:tr w14:paraId="1E565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C75BE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行号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08D65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采购内容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DBDFF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需求数量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EDB65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单位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B76B9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补充说明</w:t>
            </w:r>
          </w:p>
        </w:tc>
      </w:tr>
      <w:tr w14:paraId="015AF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65A2A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9582B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2025年10月万辉双鹤仓库电动前移式叉车采购项目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5305F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036A0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台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0E8B7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无</w:t>
            </w:r>
          </w:p>
        </w:tc>
      </w:tr>
    </w:tbl>
    <w:p w14:paraId="11DD9BC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七、答疑澄清、通知</w:t>
      </w:r>
    </w:p>
    <w:p w14:paraId="773DAED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答疑澄清、通知等文件一经在华润守正采购交易平台发布，视为已发放给相应供应商（发放时间即为发出时间），请随时关注华润守正采购交易平台发布的相关信息，并及时查阅和处理。</w:t>
      </w:r>
    </w:p>
    <w:p w14:paraId="75CBA2B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八、服务费交纳</w:t>
      </w:r>
    </w:p>
    <w:p w14:paraId="4232DFC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本项目向成交人收取服务费,供应商收到预成交通知书和服务费交款通知书10日内,向平台运营方(华润守正招标有限公司)支付服务费,经确认无误后由采购人发送成交通知书。平台运营方在收到服务费后向成交人开具服务费发票。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收费标准：项目总成交金额＜50万元的采购项目，免收服务费。项目总成交金额≥50万元的采购项目，按成交金额的0.15%向成交人收取（金额四舍五入，精确到分）。单项目总收费封顶100000元。其他说明：（1）总价采购，收费基数为成交金额；单价、费率采购，收费基数为预算金额。（2）单项目存在多个成交人情形的，按总成交金额计算收费总额，各成交人按成交比例分摊；项目总成交金额50万以上，但单个成交人成交金额少于50万仍按比例收取服务费。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退款说明：成交通知书发布后,平台提供相关服务已完成,成交人已交纳服务费不予退还。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多成交人服务费收取示例：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以某项目总成交金额100万为例,A、B、C多成交人情形,总服务费为0.15万,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供应商A成交金额为50万,A服务费为0.075万;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供应商B成交金额为30万,B服务费为0.045万;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供应商C成交金额为20万,C服务费为0.03万。</w:t>
      </w:r>
    </w:p>
    <w:p w14:paraId="77C14C6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九、其它事项</w:t>
      </w:r>
    </w:p>
    <w:p w14:paraId="73788CA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1.本公告在华润守正采购交易平台(https://www.szecp.com.cn/)上公开发布。</w:t>
      </w:r>
    </w:p>
    <w:p w14:paraId="6D616F4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2.本项目采购通过守正平台线上进行，供应商需注册华润守正采购交易平台，通过平台进行响应文件的递交或报价，具体操作步骤可查阅网站首页帮助中心的操作手册，也可以联系守正客服。</w:t>
      </w:r>
    </w:p>
    <w:p w14:paraId="4478D6A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3.如对采购项目有异议，请登录华润守正采购交易平台,通过异议菜单提出。</w:t>
      </w:r>
    </w:p>
    <w:p w14:paraId="325CDA9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2025年11月24日</w:t>
      </w:r>
    </w:p>
    <w:p w14:paraId="5537B685">
      <w:pPr>
        <w:rPr>
          <w:rStyle w:val="4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BC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2025-11-25T06:09:25Z</dcterms:created>
  <dc:creator>28039</dc:creator>
  <cp:lastModifiedBy>璇儿</cp:lastModifiedBy>
  <dcterms:modified xsi:type="dcterms:W3CDTF">2025-11-25T06:09:49Z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eyJoZGlkIjoiMGM2Y2JhNTI2ODZhZDhlNDdiZWJlOWMzN2NmM2E2N2QiLCJ1c2VySWQiOiI5NjU3NTMzMzUifQ==</vt:lpwstr>
  </property>
  <property fmtid="{D5CDD505-2E9C-101B-9397-08002B2CF9AE}" pid="4" name="ICV">
    <vt:lpwstr>37FCBBAC6A384841BBDFEFE781262D47_12</vt:lpwstr>
  </property>
</Properties>
</file>