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8E101">
      <w:pPr>
        <w:pageBreakBefore w:val="0"/>
        <w:kinsoku/>
        <w:wordWrap/>
        <w:overflowPunct/>
        <w:topLinePunct w:val="0"/>
        <w:autoSpaceDE/>
        <w:autoSpaceDN/>
        <w:bidi w:val="0"/>
        <w:spacing w:line="336" w:lineRule="auto"/>
        <w:ind w:left="0" w:leftChars="0" w:firstLine="643" w:firstLineChars="200"/>
        <w:jc w:val="center"/>
        <w:textAlignment w:val="auto"/>
        <w:rPr>
          <w:rFonts w:hint="eastAsia" w:ascii="宋体" w:hAnsi="宋体" w:eastAsia="宋体" w:cs="宋体"/>
          <w:b/>
          <w:kern w:val="2"/>
          <w:sz w:val="32"/>
          <w:szCs w:val="28"/>
        </w:rPr>
      </w:pPr>
      <w:r>
        <w:rPr>
          <w:rFonts w:hint="eastAsia" w:ascii="宋体" w:hAnsi="宋体" w:eastAsia="宋体" w:cs="宋体"/>
          <w:b/>
          <w:kern w:val="2"/>
          <w:sz w:val="32"/>
          <w:szCs w:val="28"/>
        </w:rPr>
        <w:t>招标书</w:t>
      </w:r>
    </w:p>
    <w:p w14:paraId="6ACD9D33">
      <w:pPr>
        <w:pageBreakBefore w:val="0"/>
        <w:kinsoku/>
        <w:wordWrap/>
        <w:overflowPunct/>
        <w:topLinePunct w:val="0"/>
        <w:autoSpaceDE/>
        <w:autoSpaceDN/>
        <w:bidi w:val="0"/>
        <w:adjustRightInd w:val="0"/>
        <w:snapToGrid w:val="0"/>
        <w:spacing w:line="336" w:lineRule="auto"/>
        <w:jc w:val="left"/>
        <w:textAlignment w:val="auto"/>
        <w:rPr>
          <w:rFonts w:hint="eastAsia" w:ascii="宋体" w:hAnsi="宋体" w:eastAsia="宋体" w:cs="宋体"/>
          <w:b/>
          <w:kern w:val="2"/>
          <w:sz w:val="20"/>
          <w:szCs w:val="20"/>
          <w:lang w:val="en-US" w:eastAsia="zh-CN"/>
        </w:rPr>
      </w:pPr>
    </w:p>
    <w:p w14:paraId="3B08D98E">
      <w:pPr>
        <w:pageBreakBefore w:val="0"/>
        <w:kinsoku/>
        <w:wordWrap/>
        <w:overflowPunct/>
        <w:topLinePunct w:val="0"/>
        <w:autoSpaceDE/>
        <w:autoSpaceDN/>
        <w:bidi w:val="0"/>
        <w:adjustRightInd w:val="0"/>
        <w:snapToGrid w:val="0"/>
        <w:spacing w:line="336" w:lineRule="auto"/>
        <w:jc w:val="left"/>
        <w:textAlignment w:val="auto"/>
        <w:rPr>
          <w:rFonts w:hint="eastAsia" w:ascii="宋体" w:hAnsi="宋体" w:eastAsia="宋体" w:cs="宋体"/>
          <w:b/>
          <w:sz w:val="20"/>
          <w:szCs w:val="20"/>
        </w:rPr>
      </w:pPr>
      <w:r>
        <w:rPr>
          <w:rFonts w:hint="eastAsia" w:ascii="宋体" w:hAnsi="宋体" w:eastAsia="宋体" w:cs="宋体"/>
          <w:b/>
          <w:sz w:val="20"/>
          <w:szCs w:val="20"/>
        </w:rPr>
        <w:t>一、招标公告</w:t>
      </w:r>
    </w:p>
    <w:p w14:paraId="6262C6D9">
      <w:pPr>
        <w:keepNext w:val="0"/>
        <w:keepLines w:val="0"/>
        <w:widowControl/>
        <w:suppressLineNumbers w:val="0"/>
        <w:shd w:val="clear" w:color="auto" w:fill="FFFFFF"/>
        <w:adjustRightInd w:val="0"/>
        <w:snapToGrid w:val="0"/>
        <w:spacing w:after="30" w:afterAutospacing="0" w:line="336" w:lineRule="auto"/>
        <w:ind w:left="0"/>
        <w:jc w:val="left"/>
        <w:rPr>
          <w:rFonts w:hint="eastAsia" w:ascii="宋体" w:hAnsi="宋体" w:eastAsia="宋体" w:cs="宋体"/>
          <w:b/>
          <w:sz w:val="20"/>
          <w:szCs w:val="20"/>
        </w:rPr>
      </w:pPr>
      <w:r>
        <w:rPr>
          <w:rFonts w:hint="eastAsia" w:ascii="宋体" w:hAnsi="宋体" w:eastAsia="宋体" w:cs="宋体"/>
          <w:b/>
          <w:sz w:val="20"/>
          <w:szCs w:val="20"/>
        </w:rPr>
        <w:t>欢迎参与本次招标项目。</w:t>
      </w:r>
      <w:r>
        <w:rPr>
          <w:rFonts w:hint="eastAsia" w:ascii="宋体" w:hAnsi="宋体" w:eastAsia="宋体" w:cs="宋体"/>
          <w:b/>
          <w:color w:val="FF0000"/>
          <w:sz w:val="20"/>
          <w:szCs w:val="20"/>
        </w:rPr>
        <w:t>请仔细阅读本招标书内容后按要求参与投标报名。</w:t>
      </w:r>
    </w:p>
    <w:p w14:paraId="068B846D">
      <w:pPr>
        <w:keepNext w:val="0"/>
        <w:keepLines w:val="0"/>
        <w:widowControl/>
        <w:suppressLineNumbers w:val="0"/>
        <w:shd w:val="clear" w:color="auto" w:fill="FFFFFF"/>
        <w:adjustRightInd w:val="0"/>
        <w:snapToGrid w:val="0"/>
        <w:spacing w:after="30" w:afterAutospacing="0" w:line="336" w:lineRule="auto"/>
        <w:ind w:left="0"/>
        <w:jc w:val="left"/>
        <w:rPr>
          <w:rFonts w:hint="eastAsia" w:ascii="宋体" w:hAnsi="宋体" w:eastAsia="宋体" w:cs="宋体"/>
          <w:b/>
          <w:sz w:val="20"/>
          <w:szCs w:val="20"/>
        </w:rPr>
      </w:pPr>
    </w:p>
    <w:p w14:paraId="2C5CF252">
      <w:pPr>
        <w:pageBreakBefore w:val="0"/>
        <w:kinsoku/>
        <w:wordWrap/>
        <w:overflowPunct/>
        <w:topLinePunct w:val="0"/>
        <w:autoSpaceDE/>
        <w:autoSpaceDN/>
        <w:bidi w:val="0"/>
        <w:adjustRightInd w:val="0"/>
        <w:snapToGrid w:val="0"/>
        <w:spacing w:line="336" w:lineRule="auto"/>
        <w:ind w:firstLine="402" w:firstLineChars="200"/>
        <w:jc w:val="left"/>
        <w:textAlignment w:val="auto"/>
        <w:rPr>
          <w:rFonts w:hint="eastAsia" w:ascii="宋体" w:hAnsi="宋体" w:eastAsia="宋体" w:cs="宋体"/>
          <w:b/>
          <w:kern w:val="2"/>
          <w:sz w:val="20"/>
          <w:szCs w:val="20"/>
          <w:lang w:val="en-US" w:eastAsia="zh-CN"/>
        </w:rPr>
      </w:pPr>
      <w:r>
        <w:rPr>
          <w:rFonts w:hint="eastAsia" w:ascii="宋体" w:hAnsi="宋体" w:eastAsia="宋体" w:cs="宋体"/>
          <w:b/>
          <w:bCs w:val="0"/>
          <w:i w:val="0"/>
          <w:iCs w:val="0"/>
          <w:caps w:val="0"/>
          <w:spacing w:val="0"/>
          <w:sz w:val="20"/>
          <w:szCs w:val="20"/>
          <w:shd w:val="clear" w:color="auto" w:fill="auto"/>
        </w:rPr>
        <w:t>项目基本信息</w:t>
      </w:r>
    </w:p>
    <w:p w14:paraId="66A49BAD">
      <w:pPr>
        <w:pageBreakBefore w:val="0"/>
        <w:numPr>
          <w:ilvl w:val="-1"/>
          <w:numId w:val="0"/>
        </w:numPr>
        <w:kinsoku/>
        <w:wordWrap/>
        <w:overflowPunct/>
        <w:topLinePunct w:val="0"/>
        <w:autoSpaceDE/>
        <w:autoSpaceDN/>
        <w:bidi w:val="0"/>
        <w:adjustRightInd w:val="0"/>
        <w:snapToGrid w:val="0"/>
        <w:spacing w:line="336" w:lineRule="auto"/>
        <w:ind w:leftChars="0" w:firstLine="402" w:firstLineChars="200"/>
        <w:jc w:val="left"/>
        <w:textAlignment w:val="auto"/>
        <w:rPr>
          <w:rFonts w:hint="eastAsia" w:ascii="宋体" w:hAnsi="宋体" w:eastAsia="宋体" w:cs="宋体"/>
          <w:b/>
          <w:kern w:val="2"/>
          <w:sz w:val="20"/>
          <w:szCs w:val="20"/>
          <w:highlight w:val="yellow"/>
          <w:lang w:val="en-US" w:eastAsia="zh-CN"/>
        </w:rPr>
      </w:pPr>
      <w:r>
        <w:rPr>
          <w:rFonts w:hint="eastAsia" w:ascii="宋体" w:hAnsi="宋体" w:eastAsia="宋体" w:cs="宋体"/>
          <w:b/>
          <w:kern w:val="2"/>
          <w:sz w:val="20"/>
          <w:szCs w:val="20"/>
          <w:lang w:val="en-US" w:eastAsia="zh-CN"/>
        </w:rPr>
        <w:t>项目名称</w:t>
      </w:r>
      <w:r>
        <w:rPr>
          <w:rFonts w:hint="eastAsia" w:ascii="宋体" w:hAnsi="宋体" w:eastAsia="宋体" w:cs="宋体"/>
          <w:b/>
          <w:kern w:val="2"/>
          <w:sz w:val="20"/>
          <w:szCs w:val="20"/>
        </w:rPr>
        <w:t>：</w:t>
      </w:r>
      <w:r>
        <w:rPr>
          <w:rFonts w:hint="eastAsia" w:ascii="宋体" w:hAnsi="宋体" w:eastAsia="宋体" w:cs="宋体"/>
          <w:b/>
          <w:kern w:val="2"/>
          <w:sz w:val="20"/>
          <w:szCs w:val="20"/>
          <w:highlight w:val="yellow"/>
          <w:lang w:val="en-US" w:eastAsia="zh-CN"/>
        </w:rPr>
        <w:t>跨越速运202</w:t>
      </w:r>
      <w:r>
        <w:rPr>
          <w:rFonts w:hint="eastAsia" w:ascii="宋体" w:hAnsi="宋体" w:cs="宋体"/>
          <w:b/>
          <w:kern w:val="2"/>
          <w:sz w:val="20"/>
          <w:szCs w:val="20"/>
          <w:highlight w:val="yellow"/>
          <w:lang w:val="en-US" w:eastAsia="zh-CN"/>
        </w:rPr>
        <w:t>6</w:t>
      </w:r>
      <w:r>
        <w:rPr>
          <w:rFonts w:hint="eastAsia" w:ascii="宋体" w:hAnsi="宋体" w:eastAsia="宋体" w:cs="宋体"/>
          <w:b/>
          <w:kern w:val="2"/>
          <w:sz w:val="20"/>
          <w:szCs w:val="20"/>
          <w:highlight w:val="yellow"/>
          <w:lang w:val="en-US" w:eastAsia="zh-CN"/>
        </w:rPr>
        <w:t>年手动液压叉车采购招标项目</w:t>
      </w:r>
    </w:p>
    <w:p w14:paraId="75E67B51">
      <w:pPr>
        <w:pageBreakBefore w:val="0"/>
        <w:numPr>
          <w:ilvl w:val="-1"/>
          <w:numId w:val="0"/>
        </w:numPr>
        <w:kinsoku/>
        <w:wordWrap/>
        <w:overflowPunct/>
        <w:topLinePunct w:val="0"/>
        <w:autoSpaceDE/>
        <w:autoSpaceDN/>
        <w:bidi w:val="0"/>
        <w:adjustRightInd w:val="0"/>
        <w:snapToGrid w:val="0"/>
        <w:spacing w:line="336" w:lineRule="auto"/>
        <w:ind w:leftChars="0" w:firstLine="402" w:firstLineChars="200"/>
        <w:jc w:val="left"/>
        <w:textAlignment w:val="auto"/>
        <w:rPr>
          <w:rStyle w:val="15"/>
          <w:rFonts w:hint="eastAsia" w:ascii="宋体" w:hAnsi="宋体" w:eastAsia="宋体" w:cs="宋体"/>
          <w:b/>
          <w:bCs/>
          <w:kern w:val="2"/>
          <w:sz w:val="20"/>
          <w:szCs w:val="20"/>
          <w:highlight w:val="yellow"/>
          <w:lang w:val="en-US" w:eastAsia="zh-CN"/>
        </w:rPr>
      </w:pPr>
      <w:r>
        <w:rPr>
          <w:rFonts w:hint="eastAsia" w:ascii="宋体" w:hAnsi="宋体" w:eastAsia="宋体" w:cs="宋体"/>
          <w:b/>
          <w:kern w:val="2"/>
          <w:sz w:val="20"/>
          <w:szCs w:val="20"/>
        </w:rPr>
        <w:t>招标编号：</w:t>
      </w:r>
      <w:r>
        <w:rPr>
          <w:rStyle w:val="15"/>
          <w:rFonts w:hint="eastAsia" w:ascii="宋体" w:hAnsi="宋体" w:eastAsia="宋体" w:cs="宋体"/>
          <w:b/>
          <w:bCs/>
          <w:kern w:val="2"/>
          <w:sz w:val="20"/>
          <w:szCs w:val="20"/>
          <w:highlight w:val="yellow"/>
          <w:lang w:val="en-US" w:eastAsia="zh-CN"/>
        </w:rPr>
        <w:t>KYZB202508009227</w:t>
      </w:r>
    </w:p>
    <w:p w14:paraId="62A712C6">
      <w:pPr>
        <w:pageBreakBefore w:val="0"/>
        <w:numPr>
          <w:ilvl w:val="-1"/>
          <w:numId w:val="0"/>
        </w:numPr>
        <w:kinsoku/>
        <w:wordWrap/>
        <w:overflowPunct/>
        <w:topLinePunct w:val="0"/>
        <w:autoSpaceDE/>
        <w:autoSpaceDN/>
        <w:bidi w:val="0"/>
        <w:adjustRightInd w:val="0"/>
        <w:snapToGrid w:val="0"/>
        <w:spacing w:line="336" w:lineRule="auto"/>
        <w:ind w:left="398" w:leftChars="166" w:firstLine="0" w:firstLineChars="0"/>
        <w:jc w:val="left"/>
        <w:textAlignment w:val="auto"/>
        <w:rPr>
          <w:rStyle w:val="15"/>
          <w:rFonts w:hint="eastAsia" w:ascii="宋体" w:hAnsi="宋体" w:eastAsia="宋体" w:cs="宋体"/>
          <w:b w:val="0"/>
          <w:bCs w:val="0"/>
          <w:sz w:val="20"/>
          <w:szCs w:val="20"/>
          <w:highlight w:val="none"/>
        </w:rPr>
      </w:pPr>
      <w:r>
        <w:rPr>
          <w:rStyle w:val="15"/>
          <w:rFonts w:hint="eastAsia" w:ascii="宋体" w:hAnsi="宋体" w:eastAsia="宋体" w:cs="宋体"/>
          <w:b/>
          <w:bCs/>
          <w:kern w:val="2"/>
          <w:sz w:val="20"/>
          <w:szCs w:val="20"/>
          <w:highlight w:val="none"/>
          <w:lang w:val="en-US" w:eastAsia="zh-CN"/>
        </w:rPr>
        <w:t>资质接收截止时间：</w:t>
      </w:r>
      <w:r>
        <w:rPr>
          <w:rStyle w:val="15"/>
          <w:rFonts w:hint="eastAsia" w:ascii="宋体" w:hAnsi="宋体" w:eastAsia="宋体" w:cs="宋体"/>
          <w:b/>
          <w:bCs/>
          <w:kern w:val="2"/>
          <w:sz w:val="20"/>
          <w:szCs w:val="20"/>
          <w:highlight w:val="yellow"/>
          <w:lang w:val="en-US" w:eastAsia="zh-CN"/>
        </w:rPr>
        <w:t>2025年</w:t>
      </w:r>
      <w:r>
        <w:rPr>
          <w:rStyle w:val="15"/>
          <w:rFonts w:hint="eastAsia" w:ascii="宋体" w:hAnsi="宋体" w:cs="宋体"/>
          <w:b/>
          <w:bCs/>
          <w:kern w:val="2"/>
          <w:sz w:val="20"/>
          <w:szCs w:val="20"/>
          <w:highlight w:val="yellow"/>
          <w:lang w:val="en-US" w:eastAsia="zh-CN"/>
        </w:rPr>
        <w:t>12</w:t>
      </w:r>
      <w:r>
        <w:rPr>
          <w:rStyle w:val="15"/>
          <w:rFonts w:hint="eastAsia" w:ascii="宋体" w:hAnsi="宋体" w:eastAsia="宋体" w:cs="宋体"/>
          <w:b/>
          <w:bCs/>
          <w:kern w:val="2"/>
          <w:sz w:val="20"/>
          <w:szCs w:val="20"/>
          <w:highlight w:val="yellow"/>
          <w:lang w:val="en-US" w:eastAsia="zh-CN"/>
        </w:rPr>
        <w:t>月</w:t>
      </w:r>
      <w:r>
        <w:rPr>
          <w:rStyle w:val="15"/>
          <w:rFonts w:hint="eastAsia" w:ascii="宋体" w:hAnsi="宋体" w:cs="宋体"/>
          <w:b/>
          <w:bCs/>
          <w:kern w:val="2"/>
          <w:sz w:val="20"/>
          <w:szCs w:val="20"/>
          <w:highlight w:val="yellow"/>
          <w:lang w:val="en-US" w:eastAsia="zh-CN"/>
        </w:rPr>
        <w:t>16</w:t>
      </w:r>
      <w:r>
        <w:rPr>
          <w:rStyle w:val="15"/>
          <w:rFonts w:hint="eastAsia" w:ascii="宋体" w:hAnsi="宋体" w:eastAsia="宋体" w:cs="宋体"/>
          <w:b/>
          <w:bCs/>
          <w:kern w:val="2"/>
          <w:sz w:val="20"/>
          <w:szCs w:val="20"/>
          <w:highlight w:val="yellow"/>
          <w:lang w:val="en-US" w:eastAsia="zh-CN"/>
        </w:rPr>
        <w:t>日</w:t>
      </w:r>
      <w:r>
        <w:rPr>
          <w:rStyle w:val="15"/>
          <w:rFonts w:hint="eastAsia" w:ascii="宋体" w:hAnsi="宋体" w:eastAsia="宋体" w:cs="宋体"/>
          <w:b w:val="0"/>
          <w:bCs w:val="0"/>
          <w:sz w:val="20"/>
          <w:szCs w:val="20"/>
          <w:highlight w:val="none"/>
        </w:rPr>
        <w:t>（请务必在此时间前提交完整且符合要求的资质文件，逾期将不予受理）</w:t>
      </w:r>
    </w:p>
    <w:p w14:paraId="0C3B51CB">
      <w:pPr>
        <w:pageBreakBefore w:val="0"/>
        <w:numPr>
          <w:ilvl w:val="-1"/>
          <w:numId w:val="0"/>
        </w:numPr>
        <w:kinsoku/>
        <w:wordWrap/>
        <w:overflowPunct/>
        <w:topLinePunct w:val="0"/>
        <w:autoSpaceDE/>
        <w:autoSpaceDN/>
        <w:bidi w:val="0"/>
        <w:adjustRightInd w:val="0"/>
        <w:snapToGrid w:val="0"/>
        <w:spacing w:line="336" w:lineRule="auto"/>
        <w:ind w:left="398" w:leftChars="166" w:firstLine="0" w:firstLineChars="0"/>
        <w:jc w:val="left"/>
        <w:textAlignment w:val="auto"/>
        <w:rPr>
          <w:rFonts w:hint="eastAsia" w:ascii="宋体" w:hAnsi="宋体" w:eastAsia="宋体" w:cs="宋体"/>
          <w:i w:val="0"/>
          <w:iCs w:val="0"/>
          <w:caps w:val="0"/>
          <w:spacing w:val="0"/>
          <w:sz w:val="20"/>
          <w:szCs w:val="20"/>
          <w:shd w:val="clear" w:color="auto" w:fill="FFFFFF"/>
        </w:rPr>
      </w:pPr>
      <w:r>
        <w:rPr>
          <w:rFonts w:hint="eastAsia" w:ascii="宋体" w:hAnsi="宋体" w:eastAsia="宋体" w:cs="宋体"/>
          <w:b/>
          <w:bCs/>
          <w:kern w:val="2"/>
          <w:sz w:val="20"/>
          <w:szCs w:val="20"/>
          <w:lang w:val="en-US" w:eastAsia="zh-CN"/>
        </w:rPr>
        <w:t>线上</w:t>
      </w:r>
      <w:r>
        <w:rPr>
          <w:rFonts w:hint="eastAsia" w:ascii="宋体" w:hAnsi="宋体" w:eastAsia="宋体" w:cs="宋体"/>
          <w:b/>
          <w:bCs/>
          <w:kern w:val="2"/>
          <w:sz w:val="20"/>
          <w:szCs w:val="20"/>
        </w:rPr>
        <w:t>报名截止时间：</w:t>
      </w:r>
      <w:r>
        <w:rPr>
          <w:rStyle w:val="15"/>
          <w:rFonts w:hint="eastAsia" w:ascii="宋体" w:hAnsi="宋体" w:eastAsia="宋体" w:cs="宋体"/>
          <w:b/>
          <w:bCs/>
          <w:kern w:val="2"/>
          <w:sz w:val="20"/>
          <w:szCs w:val="20"/>
          <w:highlight w:val="yellow"/>
          <w:lang w:val="en-US" w:eastAsia="zh-CN"/>
        </w:rPr>
        <w:t>2025年</w:t>
      </w:r>
      <w:r>
        <w:rPr>
          <w:rStyle w:val="15"/>
          <w:rFonts w:hint="eastAsia" w:ascii="宋体" w:hAnsi="宋体" w:cs="宋体"/>
          <w:b/>
          <w:bCs/>
          <w:kern w:val="2"/>
          <w:sz w:val="20"/>
          <w:szCs w:val="20"/>
          <w:highlight w:val="yellow"/>
          <w:lang w:val="en-US" w:eastAsia="zh-CN"/>
        </w:rPr>
        <w:t>12</w:t>
      </w:r>
      <w:r>
        <w:rPr>
          <w:rStyle w:val="15"/>
          <w:rFonts w:hint="eastAsia" w:ascii="宋体" w:hAnsi="宋体" w:eastAsia="宋体" w:cs="宋体"/>
          <w:b/>
          <w:bCs/>
          <w:kern w:val="2"/>
          <w:sz w:val="20"/>
          <w:szCs w:val="20"/>
          <w:highlight w:val="yellow"/>
          <w:lang w:val="en-US" w:eastAsia="zh-CN"/>
        </w:rPr>
        <w:t>月</w:t>
      </w:r>
      <w:r>
        <w:rPr>
          <w:rStyle w:val="15"/>
          <w:rFonts w:hint="eastAsia" w:ascii="宋体" w:hAnsi="宋体" w:cs="宋体"/>
          <w:b/>
          <w:bCs/>
          <w:kern w:val="2"/>
          <w:sz w:val="20"/>
          <w:szCs w:val="20"/>
          <w:highlight w:val="yellow"/>
          <w:lang w:val="en-US" w:eastAsia="zh-CN"/>
        </w:rPr>
        <w:t>16</w:t>
      </w:r>
      <w:r>
        <w:rPr>
          <w:rStyle w:val="15"/>
          <w:rFonts w:hint="eastAsia" w:ascii="宋体" w:hAnsi="宋体" w:eastAsia="宋体" w:cs="宋体"/>
          <w:b/>
          <w:bCs/>
          <w:kern w:val="2"/>
          <w:sz w:val="20"/>
          <w:szCs w:val="20"/>
          <w:highlight w:val="yellow"/>
          <w:lang w:val="en-US" w:eastAsia="zh-CN"/>
        </w:rPr>
        <w:t>日</w:t>
      </w:r>
      <w:r>
        <w:rPr>
          <w:rStyle w:val="15"/>
          <w:rFonts w:hint="eastAsia" w:ascii="宋体" w:hAnsi="宋体" w:cs="宋体"/>
          <w:b/>
          <w:bCs/>
          <w:kern w:val="2"/>
          <w:sz w:val="20"/>
          <w:szCs w:val="20"/>
          <w:highlight w:val="yellow"/>
          <w:lang w:val="en-US" w:eastAsia="zh-CN"/>
        </w:rPr>
        <w:t>13</w:t>
      </w:r>
      <w:r>
        <w:rPr>
          <w:rStyle w:val="15"/>
          <w:rFonts w:hint="eastAsia" w:ascii="宋体" w:hAnsi="宋体" w:eastAsia="宋体" w:cs="宋体"/>
          <w:b/>
          <w:bCs/>
          <w:kern w:val="2"/>
          <w:sz w:val="20"/>
          <w:szCs w:val="20"/>
          <w:highlight w:val="yellow"/>
          <w:lang w:val="en-US" w:eastAsia="zh-CN"/>
        </w:rPr>
        <w:t>:</w:t>
      </w:r>
      <w:r>
        <w:rPr>
          <w:rStyle w:val="15"/>
          <w:rFonts w:hint="eastAsia" w:ascii="宋体" w:hAnsi="宋体" w:cs="宋体"/>
          <w:b/>
          <w:bCs/>
          <w:kern w:val="2"/>
          <w:sz w:val="20"/>
          <w:szCs w:val="20"/>
          <w:highlight w:val="yellow"/>
          <w:lang w:val="en-US" w:eastAsia="zh-CN"/>
        </w:rPr>
        <w:t>0</w:t>
      </w:r>
      <w:r>
        <w:rPr>
          <w:rStyle w:val="15"/>
          <w:rFonts w:hint="eastAsia" w:ascii="宋体" w:hAnsi="宋体" w:eastAsia="宋体" w:cs="宋体"/>
          <w:b/>
          <w:bCs/>
          <w:kern w:val="2"/>
          <w:sz w:val="20"/>
          <w:szCs w:val="20"/>
          <w:highlight w:val="yellow"/>
          <w:lang w:val="en-US" w:eastAsia="zh-CN"/>
        </w:rPr>
        <w:t>0</w:t>
      </w:r>
      <w:r>
        <w:rPr>
          <w:rFonts w:hint="eastAsia" w:ascii="宋体" w:hAnsi="宋体" w:eastAsia="宋体" w:cs="宋体"/>
          <w:i w:val="0"/>
          <w:iCs w:val="0"/>
          <w:caps w:val="0"/>
          <w:spacing w:val="0"/>
          <w:sz w:val="20"/>
          <w:szCs w:val="20"/>
          <w:shd w:val="clear" w:color="auto" w:fill="FFFFFF"/>
        </w:rPr>
        <w:t>（过时系统将关闭报名通道，无法进行报名操作）</w:t>
      </w:r>
    </w:p>
    <w:p w14:paraId="08470A2F">
      <w:pPr>
        <w:pageBreakBefore w:val="0"/>
        <w:numPr>
          <w:ilvl w:val="-1"/>
          <w:numId w:val="0"/>
        </w:numPr>
        <w:kinsoku/>
        <w:wordWrap/>
        <w:overflowPunct/>
        <w:topLinePunct w:val="0"/>
        <w:autoSpaceDE/>
        <w:autoSpaceDN/>
        <w:bidi w:val="0"/>
        <w:adjustRightInd w:val="0"/>
        <w:snapToGrid w:val="0"/>
        <w:spacing w:line="336" w:lineRule="auto"/>
        <w:ind w:left="398" w:leftChars="166" w:firstLine="0" w:firstLineChars="0"/>
        <w:jc w:val="left"/>
        <w:textAlignment w:val="auto"/>
        <w:rPr>
          <w:rFonts w:hint="eastAsia" w:ascii="宋体" w:hAnsi="宋体" w:eastAsia="宋体" w:cs="宋体"/>
          <w:i w:val="0"/>
          <w:iCs w:val="0"/>
          <w:caps w:val="0"/>
          <w:spacing w:val="0"/>
          <w:sz w:val="20"/>
          <w:szCs w:val="20"/>
          <w:shd w:val="clear" w:color="auto" w:fill="FFFFFF"/>
        </w:rPr>
      </w:pPr>
      <w:r>
        <w:rPr>
          <w:rStyle w:val="15"/>
          <w:rFonts w:hint="eastAsia" w:ascii="宋体" w:hAnsi="宋体" w:eastAsia="宋体" w:cs="宋体"/>
          <w:b/>
          <w:bCs/>
          <w:kern w:val="2"/>
          <w:sz w:val="20"/>
          <w:szCs w:val="20"/>
          <w:highlight w:val="none"/>
          <w:lang w:val="en-US" w:eastAsia="zh-CN"/>
        </w:rPr>
        <w:t>招标介绍答疑时间：</w:t>
      </w:r>
      <w:r>
        <w:rPr>
          <w:rStyle w:val="15"/>
          <w:rFonts w:hint="eastAsia" w:ascii="宋体" w:hAnsi="宋体" w:eastAsia="宋体" w:cs="宋体"/>
          <w:b/>
          <w:bCs/>
          <w:kern w:val="2"/>
          <w:sz w:val="20"/>
          <w:szCs w:val="20"/>
          <w:highlight w:val="yellow"/>
          <w:lang w:val="en-US" w:eastAsia="zh-CN"/>
        </w:rPr>
        <w:t>2025年</w:t>
      </w:r>
      <w:r>
        <w:rPr>
          <w:rStyle w:val="15"/>
          <w:rFonts w:hint="eastAsia" w:ascii="宋体" w:hAnsi="宋体" w:cs="宋体"/>
          <w:b/>
          <w:bCs/>
          <w:kern w:val="2"/>
          <w:sz w:val="20"/>
          <w:szCs w:val="20"/>
          <w:highlight w:val="yellow"/>
          <w:lang w:val="en-US" w:eastAsia="zh-CN"/>
        </w:rPr>
        <w:t>12</w:t>
      </w:r>
      <w:r>
        <w:rPr>
          <w:rStyle w:val="15"/>
          <w:rFonts w:hint="eastAsia" w:ascii="宋体" w:hAnsi="宋体" w:eastAsia="宋体" w:cs="宋体"/>
          <w:b/>
          <w:bCs/>
          <w:kern w:val="2"/>
          <w:sz w:val="20"/>
          <w:szCs w:val="20"/>
          <w:highlight w:val="yellow"/>
          <w:lang w:val="en-US" w:eastAsia="zh-CN"/>
        </w:rPr>
        <w:t>月</w:t>
      </w:r>
      <w:r>
        <w:rPr>
          <w:rStyle w:val="15"/>
          <w:rFonts w:hint="eastAsia" w:ascii="宋体" w:hAnsi="宋体" w:cs="宋体"/>
          <w:b/>
          <w:bCs/>
          <w:kern w:val="2"/>
          <w:sz w:val="20"/>
          <w:szCs w:val="20"/>
          <w:highlight w:val="yellow"/>
          <w:lang w:val="en-US" w:eastAsia="zh-CN"/>
        </w:rPr>
        <w:t>9</w:t>
      </w:r>
      <w:r>
        <w:rPr>
          <w:rStyle w:val="15"/>
          <w:rFonts w:hint="eastAsia" w:ascii="宋体" w:hAnsi="宋体" w:eastAsia="宋体" w:cs="宋体"/>
          <w:b/>
          <w:bCs/>
          <w:kern w:val="2"/>
          <w:sz w:val="20"/>
          <w:szCs w:val="20"/>
          <w:highlight w:val="yellow"/>
          <w:lang w:val="en-US" w:eastAsia="zh-CN"/>
        </w:rPr>
        <w:t>日9:30-1</w:t>
      </w:r>
      <w:r>
        <w:rPr>
          <w:rStyle w:val="15"/>
          <w:rFonts w:hint="eastAsia" w:ascii="宋体" w:hAnsi="宋体" w:cs="宋体"/>
          <w:b/>
          <w:bCs/>
          <w:kern w:val="2"/>
          <w:sz w:val="20"/>
          <w:szCs w:val="20"/>
          <w:highlight w:val="yellow"/>
          <w:lang w:val="en-US" w:eastAsia="zh-CN"/>
        </w:rPr>
        <w:t>8</w:t>
      </w:r>
      <w:r>
        <w:rPr>
          <w:rStyle w:val="15"/>
          <w:rFonts w:hint="eastAsia" w:ascii="宋体" w:hAnsi="宋体" w:eastAsia="宋体" w:cs="宋体"/>
          <w:b/>
          <w:bCs/>
          <w:kern w:val="2"/>
          <w:sz w:val="20"/>
          <w:szCs w:val="20"/>
          <w:highlight w:val="yellow"/>
          <w:lang w:val="en-US" w:eastAsia="zh-CN"/>
        </w:rPr>
        <w:t>:00</w:t>
      </w:r>
    </w:p>
    <w:p w14:paraId="79578CD9">
      <w:pPr>
        <w:pageBreakBefore w:val="0"/>
        <w:numPr>
          <w:ilvl w:val="-1"/>
          <w:numId w:val="0"/>
        </w:numPr>
        <w:kinsoku/>
        <w:wordWrap/>
        <w:overflowPunct/>
        <w:topLinePunct w:val="0"/>
        <w:autoSpaceDE/>
        <w:autoSpaceDN/>
        <w:bidi w:val="0"/>
        <w:adjustRightInd w:val="0"/>
        <w:snapToGrid w:val="0"/>
        <w:spacing w:line="336" w:lineRule="auto"/>
        <w:ind w:left="398" w:leftChars="166" w:firstLine="0" w:firstLineChars="0"/>
        <w:jc w:val="left"/>
        <w:textAlignment w:val="auto"/>
        <w:rPr>
          <w:rFonts w:hint="eastAsia" w:ascii="宋体" w:hAnsi="宋体" w:eastAsia="宋体" w:cs="宋体"/>
          <w:b/>
          <w:bCs/>
          <w:kern w:val="2"/>
          <w:sz w:val="20"/>
          <w:szCs w:val="20"/>
          <w:highlight w:val="none"/>
          <w:lang w:val="en-US" w:eastAsia="zh-CN"/>
        </w:rPr>
      </w:pPr>
      <w:r>
        <w:rPr>
          <w:rFonts w:hint="eastAsia" w:ascii="宋体" w:hAnsi="宋体" w:eastAsia="宋体" w:cs="宋体"/>
          <w:b/>
          <w:bCs/>
          <w:kern w:val="2"/>
          <w:sz w:val="20"/>
          <w:szCs w:val="20"/>
          <w:highlight w:val="none"/>
          <w:lang w:val="en-US" w:eastAsia="zh-CN"/>
        </w:rPr>
        <w:t>线上报价时间：</w:t>
      </w:r>
    </w:p>
    <w:p w14:paraId="32EFA906">
      <w:pPr>
        <w:pageBreakBefore w:val="0"/>
        <w:numPr>
          <w:ilvl w:val="-1"/>
          <w:numId w:val="0"/>
        </w:numPr>
        <w:kinsoku/>
        <w:wordWrap/>
        <w:overflowPunct/>
        <w:topLinePunct w:val="0"/>
        <w:autoSpaceDE/>
        <w:autoSpaceDN/>
        <w:bidi w:val="0"/>
        <w:adjustRightInd w:val="0"/>
        <w:snapToGrid w:val="0"/>
        <w:spacing w:line="336" w:lineRule="auto"/>
        <w:ind w:leftChars="0" w:firstLine="402" w:firstLineChars="200"/>
        <w:jc w:val="left"/>
        <w:textAlignment w:val="auto"/>
        <w:rPr>
          <w:rFonts w:hint="eastAsia" w:ascii="宋体" w:hAnsi="宋体" w:eastAsia="宋体" w:cs="宋体"/>
          <w:b/>
          <w:bCs/>
          <w:kern w:val="2"/>
          <w:sz w:val="20"/>
          <w:szCs w:val="20"/>
          <w:highlight w:val="yellow"/>
          <w:lang w:val="en-US" w:eastAsia="zh-CN"/>
        </w:rPr>
      </w:pPr>
      <w:r>
        <w:rPr>
          <w:rFonts w:hint="eastAsia" w:ascii="宋体" w:hAnsi="宋体" w:eastAsia="宋体" w:cs="宋体"/>
          <w:b/>
          <w:bCs/>
          <w:kern w:val="2"/>
          <w:sz w:val="20"/>
          <w:szCs w:val="20"/>
          <w:highlight w:val="none"/>
          <w:lang w:val="en-US" w:eastAsia="zh-CN"/>
        </w:rPr>
        <w:t>第一轮报价时间：</w:t>
      </w:r>
      <w:r>
        <w:rPr>
          <w:rFonts w:hint="eastAsia" w:ascii="宋体" w:hAnsi="宋体" w:eastAsia="宋体" w:cs="宋体"/>
          <w:b/>
          <w:bCs/>
          <w:i w:val="0"/>
          <w:iCs w:val="0"/>
          <w:caps w:val="0"/>
          <w:spacing w:val="0"/>
          <w:sz w:val="20"/>
          <w:szCs w:val="20"/>
          <w:highlight w:val="yellow"/>
          <w:shd w:val="clear" w:color="auto" w:fill="auto"/>
        </w:rPr>
        <w:t>2025年</w:t>
      </w:r>
      <w:r>
        <w:rPr>
          <w:rFonts w:hint="eastAsia" w:ascii="宋体" w:hAnsi="宋体" w:cs="宋体"/>
          <w:b/>
          <w:bCs/>
          <w:i w:val="0"/>
          <w:iCs w:val="0"/>
          <w:caps w:val="0"/>
          <w:spacing w:val="0"/>
          <w:sz w:val="20"/>
          <w:szCs w:val="20"/>
          <w:highlight w:val="yellow"/>
          <w:shd w:val="clear" w:color="auto" w:fill="auto"/>
          <w:lang w:val="en-US" w:eastAsia="zh-CN"/>
        </w:rPr>
        <w:t>12</w:t>
      </w:r>
      <w:r>
        <w:rPr>
          <w:rFonts w:hint="eastAsia" w:ascii="宋体" w:hAnsi="宋体" w:eastAsia="宋体" w:cs="宋体"/>
          <w:b/>
          <w:bCs/>
          <w:i w:val="0"/>
          <w:iCs w:val="0"/>
          <w:caps w:val="0"/>
          <w:spacing w:val="0"/>
          <w:sz w:val="20"/>
          <w:szCs w:val="20"/>
          <w:highlight w:val="yellow"/>
          <w:shd w:val="clear" w:color="auto" w:fill="auto"/>
        </w:rPr>
        <w:t>月</w:t>
      </w:r>
      <w:r>
        <w:rPr>
          <w:rFonts w:hint="eastAsia" w:ascii="宋体" w:hAnsi="宋体" w:cs="宋体"/>
          <w:b/>
          <w:bCs/>
          <w:i w:val="0"/>
          <w:iCs w:val="0"/>
          <w:caps w:val="0"/>
          <w:spacing w:val="0"/>
          <w:sz w:val="20"/>
          <w:szCs w:val="20"/>
          <w:highlight w:val="yellow"/>
          <w:shd w:val="clear" w:color="auto" w:fill="auto"/>
          <w:lang w:val="en-US" w:eastAsia="zh-CN"/>
        </w:rPr>
        <w:t>16</w:t>
      </w:r>
      <w:r>
        <w:rPr>
          <w:rFonts w:hint="eastAsia" w:ascii="宋体" w:hAnsi="宋体" w:eastAsia="宋体" w:cs="宋体"/>
          <w:b/>
          <w:bCs/>
          <w:i w:val="0"/>
          <w:iCs w:val="0"/>
          <w:caps w:val="0"/>
          <w:spacing w:val="0"/>
          <w:sz w:val="20"/>
          <w:szCs w:val="20"/>
          <w:highlight w:val="yellow"/>
          <w:shd w:val="clear" w:color="auto" w:fill="auto"/>
        </w:rPr>
        <w:t>日 1</w:t>
      </w:r>
      <w:r>
        <w:rPr>
          <w:rFonts w:hint="eastAsia" w:ascii="宋体" w:hAnsi="宋体" w:cs="宋体"/>
          <w:b/>
          <w:bCs/>
          <w:i w:val="0"/>
          <w:iCs w:val="0"/>
          <w:caps w:val="0"/>
          <w:spacing w:val="0"/>
          <w:sz w:val="20"/>
          <w:szCs w:val="20"/>
          <w:highlight w:val="yellow"/>
          <w:shd w:val="clear" w:color="auto" w:fill="auto"/>
          <w:lang w:val="en-US" w:eastAsia="zh-CN"/>
        </w:rPr>
        <w:t>4</w:t>
      </w:r>
      <w:r>
        <w:rPr>
          <w:rFonts w:hint="eastAsia" w:ascii="宋体" w:hAnsi="宋体" w:eastAsia="宋体" w:cs="宋体"/>
          <w:b/>
          <w:bCs/>
          <w:i w:val="0"/>
          <w:iCs w:val="0"/>
          <w:caps w:val="0"/>
          <w:spacing w:val="0"/>
          <w:sz w:val="20"/>
          <w:szCs w:val="20"/>
          <w:highlight w:val="yellow"/>
          <w:shd w:val="clear" w:color="auto" w:fill="auto"/>
        </w:rPr>
        <w:t>:</w:t>
      </w:r>
      <w:r>
        <w:rPr>
          <w:rFonts w:hint="eastAsia" w:ascii="宋体" w:hAnsi="宋体" w:cs="宋体"/>
          <w:b/>
          <w:bCs/>
          <w:i w:val="0"/>
          <w:iCs w:val="0"/>
          <w:caps w:val="0"/>
          <w:spacing w:val="0"/>
          <w:sz w:val="20"/>
          <w:szCs w:val="20"/>
          <w:highlight w:val="yellow"/>
          <w:shd w:val="clear" w:color="auto" w:fill="auto"/>
          <w:lang w:val="en-US" w:eastAsia="zh-CN"/>
        </w:rPr>
        <w:t>0</w:t>
      </w:r>
      <w:r>
        <w:rPr>
          <w:rFonts w:hint="eastAsia" w:ascii="宋体" w:hAnsi="宋体" w:eastAsia="宋体" w:cs="宋体"/>
          <w:b/>
          <w:bCs/>
          <w:i w:val="0"/>
          <w:iCs w:val="0"/>
          <w:caps w:val="0"/>
          <w:spacing w:val="0"/>
          <w:sz w:val="20"/>
          <w:szCs w:val="20"/>
          <w:highlight w:val="yellow"/>
          <w:shd w:val="clear" w:color="auto" w:fill="auto"/>
        </w:rPr>
        <w:t>0 - 1</w:t>
      </w:r>
      <w:r>
        <w:rPr>
          <w:rFonts w:hint="eastAsia" w:ascii="宋体" w:hAnsi="宋体" w:cs="宋体"/>
          <w:b/>
          <w:bCs/>
          <w:i w:val="0"/>
          <w:iCs w:val="0"/>
          <w:caps w:val="0"/>
          <w:spacing w:val="0"/>
          <w:sz w:val="20"/>
          <w:szCs w:val="20"/>
          <w:highlight w:val="yellow"/>
          <w:shd w:val="clear" w:color="auto" w:fill="auto"/>
          <w:lang w:val="en-US" w:eastAsia="zh-CN"/>
        </w:rPr>
        <w:t>5</w:t>
      </w:r>
      <w:r>
        <w:rPr>
          <w:rFonts w:hint="eastAsia" w:ascii="宋体" w:hAnsi="宋体" w:eastAsia="宋体" w:cs="宋体"/>
          <w:b/>
          <w:bCs/>
          <w:i w:val="0"/>
          <w:iCs w:val="0"/>
          <w:caps w:val="0"/>
          <w:spacing w:val="0"/>
          <w:sz w:val="20"/>
          <w:szCs w:val="20"/>
          <w:highlight w:val="yellow"/>
          <w:shd w:val="clear" w:color="auto" w:fill="auto"/>
        </w:rPr>
        <w:t>:</w:t>
      </w:r>
      <w:r>
        <w:rPr>
          <w:rFonts w:hint="eastAsia" w:ascii="宋体" w:hAnsi="宋体" w:cs="宋体"/>
          <w:b/>
          <w:bCs/>
          <w:i w:val="0"/>
          <w:iCs w:val="0"/>
          <w:caps w:val="0"/>
          <w:spacing w:val="0"/>
          <w:sz w:val="20"/>
          <w:szCs w:val="20"/>
          <w:highlight w:val="yellow"/>
          <w:shd w:val="clear" w:color="auto" w:fill="auto"/>
          <w:lang w:val="en-US" w:eastAsia="zh-CN"/>
        </w:rPr>
        <w:t>0</w:t>
      </w:r>
      <w:r>
        <w:rPr>
          <w:rFonts w:hint="eastAsia" w:ascii="宋体" w:hAnsi="宋体" w:eastAsia="宋体" w:cs="宋体"/>
          <w:b/>
          <w:bCs/>
          <w:i w:val="0"/>
          <w:iCs w:val="0"/>
          <w:caps w:val="0"/>
          <w:spacing w:val="0"/>
          <w:sz w:val="20"/>
          <w:szCs w:val="20"/>
          <w:highlight w:val="yellow"/>
          <w:shd w:val="clear" w:color="auto" w:fill="auto"/>
        </w:rPr>
        <w:t>0</w:t>
      </w:r>
    </w:p>
    <w:p w14:paraId="7069B6EF">
      <w:pPr>
        <w:pageBreakBefore w:val="0"/>
        <w:numPr>
          <w:ilvl w:val="-1"/>
          <w:numId w:val="0"/>
        </w:numPr>
        <w:kinsoku/>
        <w:wordWrap/>
        <w:overflowPunct/>
        <w:topLinePunct w:val="0"/>
        <w:autoSpaceDE/>
        <w:autoSpaceDN/>
        <w:bidi w:val="0"/>
        <w:adjustRightInd w:val="0"/>
        <w:snapToGrid w:val="0"/>
        <w:spacing w:line="336" w:lineRule="auto"/>
        <w:ind w:leftChars="0" w:firstLine="402" w:firstLineChars="200"/>
        <w:jc w:val="left"/>
        <w:textAlignment w:val="auto"/>
        <w:rPr>
          <w:rFonts w:hint="eastAsia" w:ascii="宋体" w:hAnsi="宋体" w:eastAsia="宋体" w:cs="宋体"/>
          <w:b/>
          <w:bCs/>
          <w:kern w:val="2"/>
          <w:sz w:val="20"/>
          <w:szCs w:val="20"/>
          <w:highlight w:val="yellow"/>
          <w:lang w:val="en-US" w:eastAsia="zh-CN"/>
        </w:rPr>
      </w:pPr>
      <w:r>
        <w:rPr>
          <w:rFonts w:hint="eastAsia" w:ascii="宋体" w:hAnsi="宋体" w:eastAsia="宋体" w:cs="宋体"/>
          <w:b/>
          <w:bCs/>
          <w:kern w:val="2"/>
          <w:sz w:val="20"/>
          <w:szCs w:val="20"/>
          <w:highlight w:val="none"/>
          <w:lang w:val="en-US" w:eastAsia="zh-CN"/>
        </w:rPr>
        <w:t>第二轮报价时间：</w:t>
      </w:r>
      <w:r>
        <w:rPr>
          <w:rFonts w:hint="eastAsia" w:ascii="宋体" w:hAnsi="宋体" w:eastAsia="宋体" w:cs="宋体"/>
          <w:b/>
          <w:bCs/>
          <w:i w:val="0"/>
          <w:iCs w:val="0"/>
          <w:caps w:val="0"/>
          <w:spacing w:val="0"/>
          <w:sz w:val="20"/>
          <w:szCs w:val="20"/>
          <w:highlight w:val="yellow"/>
          <w:shd w:val="clear" w:color="auto" w:fill="auto"/>
        </w:rPr>
        <w:t>2025年</w:t>
      </w:r>
      <w:r>
        <w:rPr>
          <w:rFonts w:hint="eastAsia" w:ascii="宋体" w:hAnsi="宋体" w:cs="宋体"/>
          <w:b/>
          <w:bCs/>
          <w:i w:val="0"/>
          <w:iCs w:val="0"/>
          <w:caps w:val="0"/>
          <w:spacing w:val="0"/>
          <w:sz w:val="20"/>
          <w:szCs w:val="20"/>
          <w:highlight w:val="yellow"/>
          <w:shd w:val="clear" w:color="auto" w:fill="auto"/>
          <w:lang w:val="en-US" w:eastAsia="zh-CN"/>
        </w:rPr>
        <w:t>12</w:t>
      </w:r>
      <w:r>
        <w:rPr>
          <w:rFonts w:hint="eastAsia" w:ascii="宋体" w:hAnsi="宋体" w:eastAsia="宋体" w:cs="宋体"/>
          <w:b/>
          <w:bCs/>
          <w:i w:val="0"/>
          <w:iCs w:val="0"/>
          <w:caps w:val="0"/>
          <w:spacing w:val="0"/>
          <w:sz w:val="20"/>
          <w:szCs w:val="20"/>
          <w:highlight w:val="yellow"/>
          <w:shd w:val="clear" w:color="auto" w:fill="auto"/>
        </w:rPr>
        <w:t>月</w:t>
      </w:r>
      <w:r>
        <w:rPr>
          <w:rFonts w:hint="eastAsia" w:ascii="宋体" w:hAnsi="宋体" w:cs="宋体"/>
          <w:b/>
          <w:bCs/>
          <w:i w:val="0"/>
          <w:iCs w:val="0"/>
          <w:caps w:val="0"/>
          <w:spacing w:val="0"/>
          <w:sz w:val="20"/>
          <w:szCs w:val="20"/>
          <w:highlight w:val="yellow"/>
          <w:shd w:val="clear" w:color="auto" w:fill="auto"/>
          <w:lang w:val="en-US" w:eastAsia="zh-CN"/>
        </w:rPr>
        <w:t>16</w:t>
      </w:r>
      <w:r>
        <w:rPr>
          <w:rFonts w:hint="eastAsia" w:ascii="宋体" w:hAnsi="宋体" w:eastAsia="宋体" w:cs="宋体"/>
          <w:b/>
          <w:bCs/>
          <w:i w:val="0"/>
          <w:iCs w:val="0"/>
          <w:caps w:val="0"/>
          <w:spacing w:val="0"/>
          <w:sz w:val="20"/>
          <w:szCs w:val="20"/>
          <w:highlight w:val="yellow"/>
          <w:shd w:val="clear" w:color="auto" w:fill="auto"/>
        </w:rPr>
        <w:t>日 1</w:t>
      </w:r>
      <w:r>
        <w:rPr>
          <w:rFonts w:hint="eastAsia" w:ascii="宋体" w:hAnsi="宋体" w:cs="宋体"/>
          <w:b/>
          <w:bCs/>
          <w:i w:val="0"/>
          <w:iCs w:val="0"/>
          <w:caps w:val="0"/>
          <w:spacing w:val="0"/>
          <w:sz w:val="20"/>
          <w:szCs w:val="20"/>
          <w:highlight w:val="yellow"/>
          <w:shd w:val="clear" w:color="auto" w:fill="auto"/>
          <w:lang w:val="en-US" w:eastAsia="zh-CN"/>
        </w:rPr>
        <w:t>5</w:t>
      </w:r>
      <w:r>
        <w:rPr>
          <w:rFonts w:hint="eastAsia" w:ascii="宋体" w:hAnsi="宋体" w:eastAsia="宋体" w:cs="宋体"/>
          <w:b/>
          <w:bCs/>
          <w:i w:val="0"/>
          <w:iCs w:val="0"/>
          <w:caps w:val="0"/>
          <w:spacing w:val="0"/>
          <w:sz w:val="20"/>
          <w:szCs w:val="20"/>
          <w:highlight w:val="yellow"/>
          <w:shd w:val="clear" w:color="auto" w:fill="auto"/>
        </w:rPr>
        <w:t>:</w:t>
      </w:r>
      <w:r>
        <w:rPr>
          <w:rFonts w:hint="eastAsia" w:ascii="宋体" w:hAnsi="宋体" w:cs="宋体"/>
          <w:b/>
          <w:bCs/>
          <w:i w:val="0"/>
          <w:iCs w:val="0"/>
          <w:caps w:val="0"/>
          <w:spacing w:val="0"/>
          <w:sz w:val="20"/>
          <w:szCs w:val="20"/>
          <w:highlight w:val="yellow"/>
          <w:shd w:val="clear" w:color="auto" w:fill="auto"/>
          <w:lang w:val="en-US" w:eastAsia="zh-CN"/>
        </w:rPr>
        <w:t>0</w:t>
      </w:r>
      <w:r>
        <w:rPr>
          <w:rFonts w:hint="eastAsia" w:ascii="宋体" w:hAnsi="宋体" w:eastAsia="宋体" w:cs="宋体"/>
          <w:b/>
          <w:bCs/>
          <w:i w:val="0"/>
          <w:iCs w:val="0"/>
          <w:caps w:val="0"/>
          <w:spacing w:val="0"/>
          <w:sz w:val="20"/>
          <w:szCs w:val="20"/>
          <w:highlight w:val="yellow"/>
          <w:shd w:val="clear" w:color="auto" w:fill="auto"/>
        </w:rPr>
        <w:t>0 - 1</w:t>
      </w:r>
      <w:r>
        <w:rPr>
          <w:rFonts w:hint="eastAsia" w:ascii="宋体" w:hAnsi="宋体" w:cs="宋体"/>
          <w:b/>
          <w:bCs/>
          <w:i w:val="0"/>
          <w:iCs w:val="0"/>
          <w:caps w:val="0"/>
          <w:spacing w:val="0"/>
          <w:sz w:val="20"/>
          <w:szCs w:val="20"/>
          <w:highlight w:val="yellow"/>
          <w:shd w:val="clear" w:color="auto" w:fill="auto"/>
          <w:lang w:val="en-US" w:eastAsia="zh-CN"/>
        </w:rPr>
        <w:t>6</w:t>
      </w:r>
      <w:r>
        <w:rPr>
          <w:rFonts w:hint="eastAsia" w:ascii="宋体" w:hAnsi="宋体" w:eastAsia="宋体" w:cs="宋体"/>
          <w:b/>
          <w:bCs/>
          <w:i w:val="0"/>
          <w:iCs w:val="0"/>
          <w:caps w:val="0"/>
          <w:spacing w:val="0"/>
          <w:sz w:val="20"/>
          <w:szCs w:val="20"/>
          <w:highlight w:val="yellow"/>
          <w:shd w:val="clear" w:color="auto" w:fill="auto"/>
        </w:rPr>
        <w:t>:</w:t>
      </w:r>
      <w:r>
        <w:rPr>
          <w:rFonts w:hint="eastAsia" w:ascii="宋体" w:hAnsi="宋体" w:cs="宋体"/>
          <w:b/>
          <w:bCs/>
          <w:i w:val="0"/>
          <w:iCs w:val="0"/>
          <w:caps w:val="0"/>
          <w:spacing w:val="0"/>
          <w:sz w:val="20"/>
          <w:szCs w:val="20"/>
          <w:highlight w:val="yellow"/>
          <w:shd w:val="clear" w:color="auto" w:fill="auto"/>
          <w:lang w:val="en-US" w:eastAsia="zh-CN"/>
        </w:rPr>
        <w:t>0</w:t>
      </w:r>
      <w:r>
        <w:rPr>
          <w:rFonts w:hint="eastAsia" w:ascii="宋体" w:hAnsi="宋体" w:eastAsia="宋体" w:cs="宋体"/>
          <w:b/>
          <w:bCs/>
          <w:i w:val="0"/>
          <w:iCs w:val="0"/>
          <w:caps w:val="0"/>
          <w:spacing w:val="0"/>
          <w:sz w:val="20"/>
          <w:szCs w:val="20"/>
          <w:highlight w:val="yellow"/>
          <w:shd w:val="clear" w:color="auto" w:fill="auto"/>
        </w:rPr>
        <w:t>0</w:t>
      </w:r>
    </w:p>
    <w:p w14:paraId="4D8A51E0">
      <w:pPr>
        <w:pageBreakBefore w:val="0"/>
        <w:numPr>
          <w:ilvl w:val="-1"/>
          <w:numId w:val="0"/>
        </w:numPr>
        <w:kinsoku/>
        <w:wordWrap/>
        <w:overflowPunct/>
        <w:topLinePunct w:val="0"/>
        <w:autoSpaceDE/>
        <w:autoSpaceDN/>
        <w:bidi w:val="0"/>
        <w:adjustRightInd w:val="0"/>
        <w:snapToGrid w:val="0"/>
        <w:spacing w:line="336" w:lineRule="auto"/>
        <w:ind w:leftChars="0" w:firstLine="402" w:firstLineChars="200"/>
        <w:jc w:val="left"/>
        <w:textAlignment w:val="auto"/>
        <w:rPr>
          <w:rFonts w:hint="eastAsia" w:ascii="宋体" w:hAnsi="宋体" w:eastAsia="宋体" w:cs="宋体"/>
          <w:b/>
          <w:bCs/>
          <w:kern w:val="2"/>
          <w:sz w:val="20"/>
          <w:szCs w:val="20"/>
          <w:highlight w:val="yellow"/>
          <w:lang w:val="en-US" w:eastAsia="zh-CN"/>
        </w:rPr>
      </w:pPr>
      <w:r>
        <w:rPr>
          <w:rFonts w:hint="eastAsia" w:ascii="宋体" w:hAnsi="宋体" w:eastAsia="宋体" w:cs="宋体"/>
          <w:b/>
          <w:bCs/>
          <w:kern w:val="2"/>
          <w:sz w:val="20"/>
          <w:szCs w:val="20"/>
          <w:highlight w:val="none"/>
          <w:lang w:val="en-US" w:eastAsia="zh-CN"/>
        </w:rPr>
        <w:t>第三轮报价时间：</w:t>
      </w:r>
      <w:r>
        <w:rPr>
          <w:rFonts w:hint="eastAsia" w:ascii="宋体" w:hAnsi="宋体" w:eastAsia="宋体" w:cs="宋体"/>
          <w:b/>
          <w:bCs/>
          <w:i w:val="0"/>
          <w:iCs w:val="0"/>
          <w:caps w:val="0"/>
          <w:spacing w:val="0"/>
          <w:sz w:val="20"/>
          <w:szCs w:val="20"/>
          <w:highlight w:val="yellow"/>
          <w:shd w:val="clear" w:color="auto" w:fill="auto"/>
        </w:rPr>
        <w:t>2025年</w:t>
      </w:r>
      <w:r>
        <w:rPr>
          <w:rFonts w:hint="eastAsia" w:ascii="宋体" w:hAnsi="宋体" w:cs="宋体"/>
          <w:b/>
          <w:bCs/>
          <w:i w:val="0"/>
          <w:iCs w:val="0"/>
          <w:caps w:val="0"/>
          <w:spacing w:val="0"/>
          <w:sz w:val="20"/>
          <w:szCs w:val="20"/>
          <w:highlight w:val="yellow"/>
          <w:shd w:val="clear" w:color="auto" w:fill="auto"/>
          <w:lang w:val="en-US" w:eastAsia="zh-CN"/>
        </w:rPr>
        <w:t>12</w:t>
      </w:r>
      <w:r>
        <w:rPr>
          <w:rFonts w:hint="eastAsia" w:ascii="宋体" w:hAnsi="宋体" w:eastAsia="宋体" w:cs="宋体"/>
          <w:b/>
          <w:bCs/>
          <w:i w:val="0"/>
          <w:iCs w:val="0"/>
          <w:caps w:val="0"/>
          <w:spacing w:val="0"/>
          <w:sz w:val="20"/>
          <w:szCs w:val="20"/>
          <w:highlight w:val="yellow"/>
          <w:shd w:val="clear" w:color="auto" w:fill="auto"/>
        </w:rPr>
        <w:t>月</w:t>
      </w:r>
      <w:r>
        <w:rPr>
          <w:rFonts w:hint="eastAsia" w:ascii="宋体" w:hAnsi="宋体" w:cs="宋体"/>
          <w:b/>
          <w:bCs/>
          <w:i w:val="0"/>
          <w:iCs w:val="0"/>
          <w:caps w:val="0"/>
          <w:spacing w:val="0"/>
          <w:sz w:val="20"/>
          <w:szCs w:val="20"/>
          <w:highlight w:val="yellow"/>
          <w:shd w:val="clear" w:color="auto" w:fill="auto"/>
          <w:lang w:val="en-US" w:eastAsia="zh-CN"/>
        </w:rPr>
        <w:t>16</w:t>
      </w:r>
      <w:r>
        <w:rPr>
          <w:rFonts w:hint="eastAsia" w:ascii="宋体" w:hAnsi="宋体" w:eastAsia="宋体" w:cs="宋体"/>
          <w:b/>
          <w:bCs/>
          <w:i w:val="0"/>
          <w:iCs w:val="0"/>
          <w:caps w:val="0"/>
          <w:spacing w:val="0"/>
          <w:sz w:val="20"/>
          <w:szCs w:val="20"/>
          <w:highlight w:val="yellow"/>
          <w:shd w:val="clear" w:color="auto" w:fill="auto"/>
        </w:rPr>
        <w:t>日 1</w:t>
      </w:r>
      <w:r>
        <w:rPr>
          <w:rFonts w:hint="eastAsia" w:ascii="宋体" w:hAnsi="宋体" w:cs="宋体"/>
          <w:b/>
          <w:bCs/>
          <w:i w:val="0"/>
          <w:iCs w:val="0"/>
          <w:caps w:val="0"/>
          <w:spacing w:val="0"/>
          <w:sz w:val="20"/>
          <w:szCs w:val="20"/>
          <w:highlight w:val="yellow"/>
          <w:shd w:val="clear" w:color="auto" w:fill="auto"/>
          <w:lang w:val="en-US" w:eastAsia="zh-CN"/>
        </w:rPr>
        <w:t>6</w:t>
      </w:r>
      <w:r>
        <w:rPr>
          <w:rFonts w:hint="eastAsia" w:ascii="宋体" w:hAnsi="宋体" w:eastAsia="宋体" w:cs="宋体"/>
          <w:b/>
          <w:bCs/>
          <w:i w:val="0"/>
          <w:iCs w:val="0"/>
          <w:caps w:val="0"/>
          <w:spacing w:val="0"/>
          <w:sz w:val="20"/>
          <w:szCs w:val="20"/>
          <w:highlight w:val="yellow"/>
          <w:shd w:val="clear" w:color="auto" w:fill="auto"/>
        </w:rPr>
        <w:t>:</w:t>
      </w:r>
      <w:r>
        <w:rPr>
          <w:rFonts w:hint="eastAsia" w:ascii="宋体" w:hAnsi="宋体" w:cs="宋体"/>
          <w:b/>
          <w:bCs/>
          <w:i w:val="0"/>
          <w:iCs w:val="0"/>
          <w:caps w:val="0"/>
          <w:spacing w:val="0"/>
          <w:sz w:val="20"/>
          <w:szCs w:val="20"/>
          <w:highlight w:val="yellow"/>
          <w:shd w:val="clear" w:color="auto" w:fill="auto"/>
          <w:lang w:val="en-US" w:eastAsia="zh-CN"/>
        </w:rPr>
        <w:t>0</w:t>
      </w:r>
      <w:r>
        <w:rPr>
          <w:rFonts w:hint="eastAsia" w:ascii="宋体" w:hAnsi="宋体" w:eastAsia="宋体" w:cs="宋体"/>
          <w:b/>
          <w:bCs/>
          <w:i w:val="0"/>
          <w:iCs w:val="0"/>
          <w:caps w:val="0"/>
          <w:spacing w:val="0"/>
          <w:sz w:val="20"/>
          <w:szCs w:val="20"/>
          <w:highlight w:val="yellow"/>
          <w:shd w:val="clear" w:color="auto" w:fill="auto"/>
        </w:rPr>
        <w:t>0 - 1</w:t>
      </w:r>
      <w:r>
        <w:rPr>
          <w:rFonts w:hint="eastAsia" w:ascii="宋体" w:hAnsi="宋体" w:cs="宋体"/>
          <w:b/>
          <w:bCs/>
          <w:i w:val="0"/>
          <w:iCs w:val="0"/>
          <w:caps w:val="0"/>
          <w:spacing w:val="0"/>
          <w:sz w:val="20"/>
          <w:szCs w:val="20"/>
          <w:highlight w:val="yellow"/>
          <w:shd w:val="clear" w:color="auto" w:fill="auto"/>
          <w:lang w:val="en-US" w:eastAsia="zh-CN"/>
        </w:rPr>
        <w:t>7</w:t>
      </w:r>
      <w:r>
        <w:rPr>
          <w:rFonts w:hint="eastAsia" w:ascii="宋体" w:hAnsi="宋体" w:eastAsia="宋体" w:cs="宋体"/>
          <w:b/>
          <w:bCs/>
          <w:i w:val="0"/>
          <w:iCs w:val="0"/>
          <w:caps w:val="0"/>
          <w:spacing w:val="0"/>
          <w:sz w:val="20"/>
          <w:szCs w:val="20"/>
          <w:highlight w:val="yellow"/>
          <w:shd w:val="clear" w:color="auto" w:fill="auto"/>
        </w:rPr>
        <w:t>:</w:t>
      </w:r>
      <w:r>
        <w:rPr>
          <w:rFonts w:hint="eastAsia" w:ascii="宋体" w:hAnsi="宋体" w:cs="宋体"/>
          <w:b/>
          <w:bCs/>
          <w:i w:val="0"/>
          <w:iCs w:val="0"/>
          <w:caps w:val="0"/>
          <w:spacing w:val="0"/>
          <w:sz w:val="20"/>
          <w:szCs w:val="20"/>
          <w:highlight w:val="yellow"/>
          <w:shd w:val="clear" w:color="auto" w:fill="auto"/>
          <w:lang w:val="en-US" w:eastAsia="zh-CN"/>
        </w:rPr>
        <w:t>0</w:t>
      </w:r>
      <w:r>
        <w:rPr>
          <w:rFonts w:hint="eastAsia" w:ascii="宋体" w:hAnsi="宋体" w:eastAsia="宋体" w:cs="宋体"/>
          <w:b/>
          <w:bCs/>
          <w:i w:val="0"/>
          <w:iCs w:val="0"/>
          <w:caps w:val="0"/>
          <w:spacing w:val="0"/>
          <w:sz w:val="20"/>
          <w:szCs w:val="20"/>
          <w:highlight w:val="yellow"/>
          <w:shd w:val="clear" w:color="auto" w:fill="auto"/>
        </w:rPr>
        <w:t>0</w:t>
      </w:r>
    </w:p>
    <w:p w14:paraId="05F9BA07">
      <w:pPr>
        <w:pageBreakBefore w:val="0"/>
        <w:numPr>
          <w:ilvl w:val="-1"/>
          <w:numId w:val="0"/>
        </w:numPr>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bCs/>
          <w:kern w:val="2"/>
          <w:sz w:val="20"/>
          <w:szCs w:val="20"/>
          <w:highlight w:val="yellow"/>
          <w:lang w:val="en-US" w:eastAsia="zh-CN"/>
        </w:rPr>
      </w:pPr>
      <w:r>
        <w:rPr>
          <w:rFonts w:hint="eastAsia" w:ascii="宋体" w:hAnsi="宋体" w:eastAsia="宋体" w:cs="宋体"/>
          <w:b/>
          <w:bCs/>
          <w:kern w:val="2"/>
          <w:sz w:val="20"/>
          <w:szCs w:val="20"/>
          <w:highlight w:val="none"/>
          <w:lang w:val="en-US" w:eastAsia="zh-CN"/>
        </w:rPr>
        <w:t>竞  价  时  间：</w:t>
      </w:r>
      <w:r>
        <w:rPr>
          <w:rFonts w:hint="eastAsia" w:ascii="宋体" w:hAnsi="宋体" w:eastAsia="宋体" w:cs="宋体"/>
          <w:b/>
          <w:bCs/>
          <w:i w:val="0"/>
          <w:iCs w:val="0"/>
          <w:caps w:val="0"/>
          <w:spacing w:val="0"/>
          <w:sz w:val="20"/>
          <w:szCs w:val="20"/>
          <w:highlight w:val="yellow"/>
          <w:shd w:val="clear" w:color="auto" w:fill="auto"/>
        </w:rPr>
        <w:t>2025年</w:t>
      </w:r>
      <w:r>
        <w:rPr>
          <w:rFonts w:hint="eastAsia" w:ascii="宋体" w:hAnsi="宋体" w:cs="宋体"/>
          <w:b/>
          <w:bCs/>
          <w:i w:val="0"/>
          <w:iCs w:val="0"/>
          <w:caps w:val="0"/>
          <w:spacing w:val="0"/>
          <w:sz w:val="20"/>
          <w:szCs w:val="20"/>
          <w:highlight w:val="yellow"/>
          <w:shd w:val="clear" w:color="auto" w:fill="auto"/>
          <w:lang w:val="en-US" w:eastAsia="zh-CN"/>
        </w:rPr>
        <w:t>12</w:t>
      </w:r>
      <w:r>
        <w:rPr>
          <w:rFonts w:hint="eastAsia" w:ascii="宋体" w:hAnsi="宋体" w:eastAsia="宋体" w:cs="宋体"/>
          <w:b/>
          <w:bCs/>
          <w:i w:val="0"/>
          <w:iCs w:val="0"/>
          <w:caps w:val="0"/>
          <w:spacing w:val="0"/>
          <w:sz w:val="20"/>
          <w:szCs w:val="20"/>
          <w:highlight w:val="yellow"/>
          <w:shd w:val="clear" w:color="auto" w:fill="auto"/>
        </w:rPr>
        <w:t>月</w:t>
      </w:r>
      <w:r>
        <w:rPr>
          <w:rFonts w:hint="eastAsia" w:ascii="宋体" w:hAnsi="宋体" w:cs="宋体"/>
          <w:b/>
          <w:bCs/>
          <w:i w:val="0"/>
          <w:iCs w:val="0"/>
          <w:caps w:val="0"/>
          <w:spacing w:val="0"/>
          <w:sz w:val="20"/>
          <w:szCs w:val="20"/>
          <w:highlight w:val="yellow"/>
          <w:shd w:val="clear" w:color="auto" w:fill="auto"/>
          <w:lang w:val="en-US" w:eastAsia="zh-CN"/>
        </w:rPr>
        <w:t>16</w:t>
      </w:r>
      <w:r>
        <w:rPr>
          <w:rFonts w:hint="eastAsia" w:ascii="宋体" w:hAnsi="宋体" w:eastAsia="宋体" w:cs="宋体"/>
          <w:b/>
          <w:bCs/>
          <w:i w:val="0"/>
          <w:iCs w:val="0"/>
          <w:caps w:val="0"/>
          <w:spacing w:val="0"/>
          <w:sz w:val="20"/>
          <w:szCs w:val="20"/>
          <w:highlight w:val="yellow"/>
          <w:shd w:val="clear" w:color="auto" w:fill="auto"/>
        </w:rPr>
        <w:t>日 1</w:t>
      </w:r>
      <w:r>
        <w:rPr>
          <w:rFonts w:hint="eastAsia" w:ascii="宋体" w:hAnsi="宋体" w:cs="宋体"/>
          <w:b/>
          <w:bCs/>
          <w:i w:val="0"/>
          <w:iCs w:val="0"/>
          <w:caps w:val="0"/>
          <w:spacing w:val="0"/>
          <w:sz w:val="20"/>
          <w:szCs w:val="20"/>
          <w:highlight w:val="yellow"/>
          <w:shd w:val="clear" w:color="auto" w:fill="auto"/>
          <w:lang w:val="en-US" w:eastAsia="zh-CN"/>
        </w:rPr>
        <w:t>7</w:t>
      </w:r>
      <w:r>
        <w:rPr>
          <w:rFonts w:hint="eastAsia" w:ascii="宋体" w:hAnsi="宋体" w:eastAsia="宋体" w:cs="宋体"/>
          <w:b/>
          <w:bCs/>
          <w:i w:val="0"/>
          <w:iCs w:val="0"/>
          <w:caps w:val="0"/>
          <w:spacing w:val="0"/>
          <w:sz w:val="20"/>
          <w:szCs w:val="20"/>
          <w:highlight w:val="yellow"/>
          <w:shd w:val="clear" w:color="auto" w:fill="auto"/>
        </w:rPr>
        <w:t>:</w:t>
      </w:r>
      <w:r>
        <w:rPr>
          <w:rFonts w:hint="eastAsia" w:ascii="宋体" w:hAnsi="宋体" w:cs="宋体"/>
          <w:b/>
          <w:bCs/>
          <w:i w:val="0"/>
          <w:iCs w:val="0"/>
          <w:caps w:val="0"/>
          <w:spacing w:val="0"/>
          <w:sz w:val="20"/>
          <w:szCs w:val="20"/>
          <w:highlight w:val="yellow"/>
          <w:shd w:val="clear" w:color="auto" w:fill="auto"/>
          <w:lang w:val="en-US" w:eastAsia="zh-CN"/>
        </w:rPr>
        <w:t>0</w:t>
      </w:r>
      <w:r>
        <w:rPr>
          <w:rFonts w:hint="eastAsia" w:ascii="宋体" w:hAnsi="宋体" w:eastAsia="宋体" w:cs="宋体"/>
          <w:b/>
          <w:bCs/>
          <w:i w:val="0"/>
          <w:iCs w:val="0"/>
          <w:caps w:val="0"/>
          <w:spacing w:val="0"/>
          <w:sz w:val="20"/>
          <w:szCs w:val="20"/>
          <w:highlight w:val="yellow"/>
          <w:shd w:val="clear" w:color="auto" w:fill="auto"/>
        </w:rPr>
        <w:t>0 - 1</w:t>
      </w:r>
      <w:r>
        <w:rPr>
          <w:rFonts w:hint="eastAsia" w:ascii="宋体" w:hAnsi="宋体" w:cs="宋体"/>
          <w:b/>
          <w:bCs/>
          <w:i w:val="0"/>
          <w:iCs w:val="0"/>
          <w:caps w:val="0"/>
          <w:spacing w:val="0"/>
          <w:sz w:val="20"/>
          <w:szCs w:val="20"/>
          <w:highlight w:val="yellow"/>
          <w:shd w:val="clear" w:color="auto" w:fill="auto"/>
          <w:lang w:val="en-US" w:eastAsia="zh-CN"/>
        </w:rPr>
        <w:t>7</w:t>
      </w:r>
      <w:r>
        <w:rPr>
          <w:rFonts w:hint="eastAsia" w:ascii="宋体" w:hAnsi="宋体" w:eastAsia="宋体" w:cs="宋体"/>
          <w:b/>
          <w:bCs/>
          <w:i w:val="0"/>
          <w:iCs w:val="0"/>
          <w:caps w:val="0"/>
          <w:spacing w:val="0"/>
          <w:sz w:val="20"/>
          <w:szCs w:val="20"/>
          <w:highlight w:val="yellow"/>
          <w:shd w:val="clear" w:color="auto" w:fill="auto"/>
        </w:rPr>
        <w:t>:</w:t>
      </w:r>
      <w:r>
        <w:rPr>
          <w:rFonts w:hint="eastAsia" w:ascii="宋体" w:hAnsi="宋体" w:cs="宋体"/>
          <w:b/>
          <w:bCs/>
          <w:i w:val="0"/>
          <w:iCs w:val="0"/>
          <w:caps w:val="0"/>
          <w:spacing w:val="0"/>
          <w:sz w:val="20"/>
          <w:szCs w:val="20"/>
          <w:highlight w:val="yellow"/>
          <w:shd w:val="clear" w:color="auto" w:fill="auto"/>
          <w:lang w:val="en-US" w:eastAsia="zh-CN"/>
        </w:rPr>
        <w:t>3</w:t>
      </w:r>
      <w:r>
        <w:rPr>
          <w:rFonts w:hint="eastAsia" w:ascii="宋体" w:hAnsi="宋体" w:eastAsia="宋体" w:cs="宋体"/>
          <w:b/>
          <w:bCs/>
          <w:i w:val="0"/>
          <w:iCs w:val="0"/>
          <w:caps w:val="0"/>
          <w:spacing w:val="0"/>
          <w:sz w:val="20"/>
          <w:szCs w:val="20"/>
          <w:highlight w:val="yellow"/>
          <w:shd w:val="clear" w:color="auto" w:fill="auto"/>
        </w:rPr>
        <w:t>0</w:t>
      </w:r>
    </w:p>
    <w:p w14:paraId="33301482">
      <w:pPr>
        <w:pageBreakBefore w:val="0"/>
        <w:numPr>
          <w:ilvl w:val="-1"/>
          <w:numId w:val="0"/>
        </w:numPr>
        <w:kinsoku/>
        <w:wordWrap/>
        <w:overflowPunct/>
        <w:topLinePunct w:val="0"/>
        <w:autoSpaceDE/>
        <w:autoSpaceDN/>
        <w:bidi w:val="0"/>
        <w:adjustRightInd w:val="0"/>
        <w:snapToGrid w:val="0"/>
        <w:spacing w:line="336" w:lineRule="auto"/>
        <w:ind w:leftChars="0" w:firstLine="402" w:firstLineChars="200"/>
        <w:jc w:val="left"/>
        <w:textAlignment w:val="auto"/>
        <w:rPr>
          <w:rFonts w:hint="eastAsia" w:ascii="宋体" w:hAnsi="宋体" w:eastAsia="宋体" w:cs="宋体"/>
          <w:b/>
          <w:bCs/>
          <w:kern w:val="2"/>
          <w:sz w:val="20"/>
          <w:szCs w:val="20"/>
          <w:highlight w:val="yellow"/>
          <w:lang w:val="en-US" w:eastAsia="zh-CN"/>
        </w:rPr>
      </w:pPr>
      <w:r>
        <w:rPr>
          <w:rFonts w:hint="eastAsia" w:ascii="宋体" w:hAnsi="宋体" w:eastAsia="宋体" w:cs="宋体"/>
          <w:b/>
          <w:bCs/>
          <w:kern w:val="2"/>
          <w:sz w:val="20"/>
          <w:szCs w:val="20"/>
          <w:highlight w:val="none"/>
          <w:lang w:val="en-US" w:eastAsia="zh-CN"/>
        </w:rPr>
        <w:t>开标截止时间：</w:t>
      </w:r>
      <w:r>
        <w:rPr>
          <w:rFonts w:hint="eastAsia" w:ascii="宋体" w:hAnsi="宋体" w:eastAsia="宋体" w:cs="宋体"/>
          <w:b/>
          <w:bCs/>
          <w:kern w:val="2"/>
          <w:sz w:val="20"/>
          <w:szCs w:val="20"/>
          <w:highlight w:val="yellow"/>
          <w:lang w:val="en-US" w:eastAsia="zh-CN"/>
        </w:rPr>
        <w:t>2025年</w:t>
      </w:r>
      <w:r>
        <w:rPr>
          <w:rFonts w:hint="eastAsia" w:ascii="宋体" w:hAnsi="宋体" w:cs="宋体"/>
          <w:b/>
          <w:bCs/>
          <w:kern w:val="2"/>
          <w:sz w:val="20"/>
          <w:szCs w:val="20"/>
          <w:highlight w:val="yellow"/>
          <w:lang w:val="en-US" w:eastAsia="zh-CN"/>
        </w:rPr>
        <w:t>12</w:t>
      </w:r>
      <w:r>
        <w:rPr>
          <w:rFonts w:hint="eastAsia" w:ascii="宋体" w:hAnsi="宋体" w:eastAsia="宋体" w:cs="宋体"/>
          <w:b/>
          <w:bCs/>
          <w:kern w:val="2"/>
          <w:sz w:val="20"/>
          <w:szCs w:val="20"/>
          <w:highlight w:val="yellow"/>
          <w:lang w:val="en-US" w:eastAsia="zh-CN"/>
        </w:rPr>
        <w:t>月</w:t>
      </w:r>
      <w:r>
        <w:rPr>
          <w:rFonts w:hint="eastAsia" w:ascii="宋体" w:hAnsi="宋体" w:cs="宋体"/>
          <w:b/>
          <w:bCs/>
          <w:kern w:val="2"/>
          <w:sz w:val="20"/>
          <w:szCs w:val="20"/>
          <w:highlight w:val="yellow"/>
          <w:lang w:val="en-US" w:eastAsia="zh-CN"/>
        </w:rPr>
        <w:t>17</w:t>
      </w:r>
      <w:r>
        <w:rPr>
          <w:rFonts w:hint="eastAsia" w:ascii="宋体" w:hAnsi="宋体" w:eastAsia="宋体" w:cs="宋体"/>
          <w:b/>
          <w:bCs/>
          <w:kern w:val="2"/>
          <w:sz w:val="20"/>
          <w:szCs w:val="20"/>
          <w:highlight w:val="yellow"/>
          <w:lang w:val="en-US" w:eastAsia="zh-CN"/>
        </w:rPr>
        <w:t>日</w:t>
      </w:r>
    </w:p>
    <w:p w14:paraId="2BF693BF">
      <w:pPr>
        <w:pageBreakBefore w:val="0"/>
        <w:numPr>
          <w:ilvl w:val="0"/>
          <w:numId w:val="0"/>
        </w:numPr>
        <w:kinsoku/>
        <w:wordWrap/>
        <w:overflowPunct/>
        <w:topLinePunct w:val="0"/>
        <w:autoSpaceDE/>
        <w:autoSpaceDN/>
        <w:bidi w:val="0"/>
        <w:adjustRightInd w:val="0"/>
        <w:snapToGrid w:val="0"/>
        <w:spacing w:line="336" w:lineRule="auto"/>
        <w:jc w:val="left"/>
        <w:textAlignment w:val="auto"/>
        <w:rPr>
          <w:rFonts w:hint="eastAsia" w:ascii="宋体" w:hAnsi="宋体" w:eastAsia="宋体" w:cs="宋体"/>
          <w:b/>
          <w:bCs/>
          <w:kern w:val="2"/>
          <w:sz w:val="20"/>
          <w:szCs w:val="20"/>
          <w:highlight w:val="none"/>
          <w:lang w:val="en-US" w:eastAsia="zh-CN"/>
        </w:rPr>
      </w:pPr>
    </w:p>
    <w:p w14:paraId="32975B3B">
      <w:pPr>
        <w:pageBreakBefore w:val="0"/>
        <w:kinsoku/>
        <w:wordWrap/>
        <w:overflowPunct/>
        <w:topLinePunct w:val="0"/>
        <w:autoSpaceDE/>
        <w:autoSpaceDN/>
        <w:bidi w:val="0"/>
        <w:adjustRightInd w:val="0"/>
        <w:snapToGrid w:val="0"/>
        <w:spacing w:line="336" w:lineRule="auto"/>
        <w:jc w:val="left"/>
        <w:textAlignment w:val="auto"/>
        <w:rPr>
          <w:rFonts w:hint="eastAsia" w:ascii="宋体" w:hAnsi="宋体" w:eastAsia="宋体" w:cs="宋体"/>
          <w:b/>
          <w:bCs/>
          <w:kern w:val="2"/>
          <w:sz w:val="20"/>
          <w:szCs w:val="20"/>
          <w:highlight w:val="none"/>
          <w:lang w:val="en-US" w:eastAsia="zh-CN"/>
        </w:rPr>
      </w:pPr>
      <w:r>
        <w:rPr>
          <w:rFonts w:hint="eastAsia" w:ascii="宋体" w:hAnsi="宋体" w:eastAsia="宋体" w:cs="宋体"/>
          <w:b/>
          <w:bCs w:val="0"/>
          <w:i w:val="0"/>
          <w:iCs w:val="0"/>
          <w:caps w:val="0"/>
          <w:spacing w:val="0"/>
          <w:sz w:val="20"/>
          <w:szCs w:val="20"/>
          <w:shd w:val="clear" w:color="auto" w:fill="auto"/>
        </w:rPr>
        <w:t>二、招标人</w:t>
      </w:r>
      <w:r>
        <w:rPr>
          <w:rFonts w:hint="eastAsia" w:ascii="宋体" w:hAnsi="宋体" w:eastAsia="宋体" w:cs="宋体"/>
          <w:b/>
          <w:bCs/>
          <w:color w:val="auto"/>
          <w:kern w:val="2"/>
          <w:sz w:val="20"/>
          <w:szCs w:val="20"/>
          <w:highlight w:val="none"/>
        </w:rPr>
        <w:t>简介</w:t>
      </w:r>
    </w:p>
    <w:p w14:paraId="4065AECB">
      <w:pPr>
        <w:pStyle w:val="3"/>
        <w:keepNext/>
        <w:keepLines/>
        <w:pageBreakBefore w:val="0"/>
        <w:widowControl w:val="0"/>
        <w:kinsoku/>
        <w:wordWrap/>
        <w:overflowPunct/>
        <w:topLinePunct w:val="0"/>
        <w:autoSpaceDE/>
        <w:autoSpaceDN/>
        <w:bidi w:val="0"/>
        <w:adjustRightInd/>
        <w:snapToGrid/>
        <w:spacing w:before="0" w:after="0" w:line="336" w:lineRule="auto"/>
        <w:ind w:firstLine="400" w:firstLineChars="200"/>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跨越速运集团成立于 2007 年，是一家主营 “限时速运” 服务的大型科技化综合速运企业，在物流行业内具备深厚的底蕴和强大的实力。</w:t>
      </w:r>
    </w:p>
    <w:p w14:paraId="50036F25">
      <w:pPr>
        <w:pStyle w:val="3"/>
        <w:keepNext/>
        <w:keepLines/>
        <w:pageBreakBefore w:val="0"/>
        <w:widowControl w:val="0"/>
        <w:kinsoku/>
        <w:wordWrap/>
        <w:overflowPunct/>
        <w:topLinePunct w:val="0"/>
        <w:autoSpaceDE/>
        <w:autoSpaceDN/>
        <w:bidi w:val="0"/>
        <w:adjustRightInd/>
        <w:snapToGrid/>
        <w:spacing w:before="0" w:after="0" w:line="336" w:lineRule="auto"/>
        <w:ind w:firstLine="402" w:firstLineChars="200"/>
        <w:textAlignment w:val="auto"/>
        <w:rPr>
          <w:rFonts w:hint="eastAsia" w:ascii="宋体" w:hAnsi="宋体" w:eastAsia="宋体" w:cs="宋体"/>
          <w:b w:val="0"/>
          <w:bCs w:val="0"/>
          <w:color w:val="auto"/>
          <w:sz w:val="20"/>
          <w:szCs w:val="20"/>
          <w:highlight w:val="none"/>
        </w:rPr>
      </w:pPr>
      <w:r>
        <w:rPr>
          <w:rFonts w:hint="eastAsia" w:ascii="宋体" w:hAnsi="宋体" w:eastAsia="宋体" w:cs="宋体"/>
          <w:color w:val="auto"/>
          <w:sz w:val="20"/>
          <w:szCs w:val="20"/>
          <w:highlight w:val="none"/>
        </w:rPr>
        <w:t>资质荣誉：</w:t>
      </w:r>
      <w:r>
        <w:rPr>
          <w:rFonts w:hint="eastAsia" w:ascii="宋体" w:hAnsi="宋体" w:eastAsia="宋体" w:cs="宋体"/>
          <w:b w:val="0"/>
          <w:bCs w:val="0"/>
          <w:color w:val="auto"/>
          <w:sz w:val="20"/>
          <w:szCs w:val="20"/>
          <w:highlight w:val="none"/>
        </w:rPr>
        <w:t>拥有国家 AAAAA 级物流企业资质，同时荣获 “国家级高新技术企业”“中国物流行业 30 强优秀品牌”“中国电商物流行业知名品牌”“广东省诚信物流企业” 等多项荣誉称号，彰显了企业在行业内的高品质服务水平与良好口碑。</w:t>
      </w:r>
    </w:p>
    <w:p w14:paraId="40ED1E4A">
      <w:pPr>
        <w:pStyle w:val="3"/>
        <w:keepNext/>
        <w:keepLines/>
        <w:pageBreakBefore w:val="0"/>
        <w:widowControl w:val="0"/>
        <w:kinsoku/>
        <w:wordWrap/>
        <w:overflowPunct/>
        <w:topLinePunct w:val="0"/>
        <w:autoSpaceDE/>
        <w:autoSpaceDN/>
        <w:bidi w:val="0"/>
        <w:adjustRightInd/>
        <w:snapToGrid/>
        <w:spacing w:before="0" w:after="0" w:line="336" w:lineRule="auto"/>
        <w:ind w:firstLine="402" w:firstLineChars="200"/>
        <w:textAlignment w:val="auto"/>
        <w:rPr>
          <w:rFonts w:hint="eastAsia" w:ascii="宋体" w:hAnsi="宋体" w:eastAsia="宋体" w:cs="宋体"/>
          <w:b w:val="0"/>
          <w:bCs w:val="0"/>
          <w:color w:val="auto"/>
          <w:sz w:val="20"/>
          <w:szCs w:val="20"/>
          <w:highlight w:val="none"/>
        </w:rPr>
      </w:pPr>
      <w:r>
        <w:rPr>
          <w:rFonts w:hint="eastAsia" w:ascii="宋体" w:hAnsi="宋体" w:eastAsia="宋体" w:cs="宋体"/>
          <w:color w:val="auto"/>
          <w:sz w:val="20"/>
          <w:szCs w:val="20"/>
          <w:highlight w:val="none"/>
        </w:rPr>
        <w:t>运输资源：</w:t>
      </w:r>
      <w:r>
        <w:rPr>
          <w:rFonts w:hint="eastAsia" w:ascii="宋体" w:hAnsi="宋体" w:eastAsia="宋体" w:cs="宋体"/>
          <w:b w:val="0"/>
          <w:bCs w:val="0"/>
          <w:color w:val="auto"/>
          <w:sz w:val="20"/>
          <w:szCs w:val="20"/>
          <w:highlight w:val="none"/>
        </w:rPr>
        <w:t>集团拥有 21 架全货机，掌控 80% 华东华南腹舱资源，配备 60 架大型无人货运飞机，拥有 8 万余名企业员工以及 2.8 万余台自有运输车辆，构建起了覆盖全国 32 个省级行政区域、500 多个城市的服务网络，覆盖率达 99% 以上，每年服务企业达 100 万 + 家，服务履约率高达 98%，日均寄件量已超 54000 吨，为各类业务的开展提供了坚实的运力保障。</w:t>
      </w:r>
    </w:p>
    <w:p w14:paraId="7BA8B8CA">
      <w:pPr>
        <w:pStyle w:val="3"/>
        <w:keepNext/>
        <w:keepLines/>
        <w:pageBreakBefore w:val="0"/>
        <w:widowControl w:val="0"/>
        <w:kinsoku/>
        <w:wordWrap/>
        <w:overflowPunct/>
        <w:topLinePunct w:val="0"/>
        <w:autoSpaceDE/>
        <w:autoSpaceDN/>
        <w:bidi w:val="0"/>
        <w:adjustRightInd/>
        <w:snapToGrid/>
        <w:spacing w:before="0" w:after="0" w:line="336" w:lineRule="auto"/>
        <w:ind w:firstLine="402" w:firstLineChars="200"/>
        <w:textAlignment w:val="auto"/>
        <w:rPr>
          <w:rFonts w:hint="eastAsia" w:ascii="宋体" w:hAnsi="宋体" w:eastAsia="宋体" w:cs="宋体"/>
          <w:b w:val="0"/>
          <w:bCs w:val="0"/>
          <w:color w:val="auto"/>
          <w:kern w:val="2"/>
          <w:sz w:val="20"/>
          <w:szCs w:val="20"/>
          <w:highlight w:val="none"/>
        </w:rPr>
      </w:pPr>
      <w:r>
        <w:rPr>
          <w:rFonts w:hint="eastAsia" w:ascii="宋体" w:hAnsi="宋体" w:eastAsia="宋体" w:cs="宋体"/>
          <w:color w:val="auto"/>
          <w:sz w:val="20"/>
          <w:szCs w:val="20"/>
          <w:highlight w:val="none"/>
        </w:rPr>
        <w:t>业务发展：</w:t>
      </w:r>
      <w:r>
        <w:rPr>
          <w:rFonts w:hint="eastAsia" w:ascii="宋体" w:hAnsi="宋体" w:eastAsia="宋体" w:cs="宋体"/>
          <w:b w:val="0"/>
          <w:bCs w:val="0"/>
          <w:color w:val="auto"/>
          <w:sz w:val="20"/>
          <w:szCs w:val="20"/>
          <w:highlight w:val="none"/>
        </w:rPr>
        <w:t>近年来，跨越速运连续三年以 35% 以上的复合增速实现业务快速增长，于 2023 年突破营业额 200 亿大关，并蝉联 2022、2023 中国零担物流排行榜前三甲次席。2024 年更是以近 300 亿的营业额和 35% 的迅猛增速在行业内处于领先地位，充分展现了其强劲的市场竞争力和广阔的发展前景。</w:t>
      </w:r>
    </w:p>
    <w:p w14:paraId="314AF79F">
      <w:pPr>
        <w:spacing w:line="336" w:lineRule="auto"/>
        <w:rPr>
          <w:rFonts w:hint="eastAsia" w:ascii="宋体" w:hAnsi="宋体" w:eastAsia="宋体" w:cs="宋体"/>
          <w:b w:val="0"/>
          <w:bCs w:val="0"/>
          <w:color w:val="auto"/>
          <w:kern w:val="2"/>
          <w:sz w:val="20"/>
          <w:szCs w:val="20"/>
          <w:highlight w:val="none"/>
        </w:rPr>
      </w:pPr>
    </w:p>
    <w:p w14:paraId="3AF860B2">
      <w:pPr>
        <w:rPr>
          <w:rFonts w:hint="eastAsia" w:ascii="Calibri" w:hAnsi="Calibri" w:eastAsia="宋体" w:cs="宋体"/>
          <w:b/>
          <w:bCs/>
          <w:kern w:val="2"/>
          <w:sz w:val="20"/>
          <w:szCs w:val="20"/>
        </w:rPr>
      </w:pPr>
      <w:r>
        <w:rPr>
          <w:rFonts w:hint="eastAsia" w:ascii="Calibri" w:hAnsi="Calibri" w:eastAsia="宋体" w:cs="宋体"/>
          <w:b/>
          <w:bCs/>
          <w:kern w:val="2"/>
          <w:sz w:val="20"/>
          <w:szCs w:val="20"/>
          <w:lang w:val="en-US" w:eastAsia="zh-CN"/>
        </w:rPr>
        <w:t>三、招标流程：</w:t>
      </w:r>
    </w:p>
    <w:p w14:paraId="11000493">
      <w:pPr>
        <w:pStyle w:val="23"/>
        <w:widowControl/>
        <w:numPr>
          <w:ilvl w:val="-1"/>
          <w:numId w:val="0"/>
        </w:numPr>
        <w:adjustRightInd w:val="0"/>
        <w:snapToGrid w:val="0"/>
        <w:ind w:left="480" w:leftChars="200" w:firstLine="0" w:firstLineChars="0"/>
        <w:jc w:val="left"/>
        <w:rPr>
          <w:rFonts w:hint="eastAsia" w:ascii="宋体" w:hAnsi="宋体" w:eastAsia="宋体" w:cs="宋体"/>
          <w:b w:val="0"/>
          <w:bCs/>
          <w:color w:val="000000"/>
          <w:sz w:val="20"/>
          <w:szCs w:val="20"/>
        </w:rPr>
      </w:pPr>
      <w:r>
        <w:rPr>
          <w:rFonts w:hint="eastAsia" w:ascii="宋体" w:hAnsi="宋体" w:eastAsia="宋体" w:cs="宋体"/>
          <w:b w:val="0"/>
          <w:bCs/>
          <w:color w:val="000000"/>
          <w:sz w:val="20"/>
          <w:szCs w:val="20"/>
        </w:rPr>
        <w:t>本次招标遵循以下流程开展，各参与供应商需严格按照流程要求进行相应操作：</w:t>
      </w:r>
    </w:p>
    <w:p w14:paraId="0CCE19E8">
      <w:pPr>
        <w:pStyle w:val="23"/>
        <w:widowControl/>
        <w:numPr>
          <w:ilvl w:val="-1"/>
          <w:numId w:val="0"/>
        </w:numPr>
        <w:adjustRightInd w:val="0"/>
        <w:snapToGrid w:val="0"/>
        <w:ind w:left="480" w:leftChars="200" w:firstLine="0" w:firstLineChars="0"/>
        <w:jc w:val="left"/>
        <w:rPr>
          <w:rFonts w:hint="eastAsia" w:ascii="宋体" w:hAnsi="宋体" w:eastAsia="宋体" w:cs="宋体"/>
          <w:b w:val="0"/>
          <w:bCs/>
          <w:color w:val="000000"/>
          <w:kern w:val="2"/>
          <w:sz w:val="20"/>
          <w:szCs w:val="20"/>
          <w:lang w:val="en-US" w:eastAsia="zh-CN"/>
        </w:rPr>
      </w:pPr>
      <w:r>
        <w:rPr>
          <w:rFonts w:hint="eastAsia" w:ascii="宋体" w:hAnsi="宋体" w:eastAsia="宋体" w:cs="宋体"/>
          <w:b w:val="0"/>
          <w:bCs/>
          <w:color w:val="000000"/>
          <w:kern w:val="2"/>
          <w:sz w:val="20"/>
          <w:szCs w:val="20"/>
          <w:lang w:val="en-US" w:eastAsia="zh-CN"/>
        </w:rPr>
        <w:t>供应商投标报名（同步交纳保证金）→跨越招标答疑→供应商报价竞价→供应商议价→跨越定标。</w:t>
      </w:r>
    </w:p>
    <w:p w14:paraId="66C62CA9">
      <w:pPr>
        <w:pStyle w:val="23"/>
        <w:widowControl/>
        <w:numPr>
          <w:ilvl w:val="-1"/>
          <w:numId w:val="0"/>
        </w:numPr>
        <w:adjustRightInd w:val="0"/>
        <w:snapToGrid w:val="0"/>
        <w:ind w:left="480" w:leftChars="200" w:firstLine="0" w:firstLineChars="0"/>
        <w:jc w:val="left"/>
        <w:rPr>
          <w:rFonts w:hint="eastAsia" w:ascii="宋体" w:hAnsi="宋体" w:eastAsia="宋体" w:cs="宋体"/>
          <w:b w:val="0"/>
          <w:bCs/>
          <w:color w:val="000000"/>
          <w:kern w:val="2"/>
          <w:sz w:val="20"/>
          <w:szCs w:val="20"/>
        </w:rPr>
      </w:pPr>
    </w:p>
    <w:p w14:paraId="5098A8E1">
      <w:pPr>
        <w:numPr>
          <w:ilvl w:val="-1"/>
          <w:numId w:val="0"/>
        </w:numPr>
        <w:spacing w:line="336" w:lineRule="auto"/>
        <w:rPr>
          <w:rFonts w:hint="eastAsia"/>
          <w:b/>
          <w:bCs/>
          <w:sz w:val="20"/>
          <w:szCs w:val="20"/>
        </w:rPr>
      </w:pPr>
      <w:r>
        <w:rPr>
          <w:rFonts w:hint="eastAsia"/>
          <w:b/>
          <w:bCs/>
          <w:sz w:val="20"/>
          <w:szCs w:val="20"/>
          <w:lang w:val="en-US" w:eastAsia="zh-CN"/>
        </w:rPr>
        <w:t>四、标的介绍</w:t>
      </w:r>
    </w:p>
    <w:p w14:paraId="44978B17">
      <w:pPr>
        <w:pStyle w:val="23"/>
        <w:pageBreakBefore w:val="0"/>
        <w:widowControl/>
        <w:numPr>
          <w:ilvl w:val="0"/>
          <w:numId w:val="1"/>
        </w:numPr>
        <w:kinsoku/>
        <w:wordWrap/>
        <w:overflowPunct/>
        <w:topLinePunct w:val="0"/>
        <w:autoSpaceDE/>
        <w:autoSpaceDN/>
        <w:bidi w:val="0"/>
        <w:adjustRightInd w:val="0"/>
        <w:snapToGrid w:val="0"/>
        <w:spacing w:line="336" w:lineRule="auto"/>
        <w:ind w:left="0" w:leftChars="0" w:firstLine="400" w:firstLineChars="200"/>
        <w:jc w:val="left"/>
        <w:textAlignment w:val="auto"/>
        <w:rPr>
          <w:rFonts w:hint="eastAsia" w:ascii="宋体" w:hAnsi="宋体" w:eastAsia="宋体" w:cs="宋体"/>
          <w:b w:val="0"/>
          <w:bCs/>
          <w:color w:val="000000"/>
          <w:kern w:val="2"/>
          <w:sz w:val="20"/>
          <w:szCs w:val="20"/>
        </w:rPr>
      </w:pPr>
      <w:r>
        <w:rPr>
          <w:rFonts w:hint="eastAsia" w:ascii="宋体" w:hAnsi="宋体" w:eastAsia="宋体" w:cs="宋体"/>
          <w:b w:val="0"/>
          <w:bCs/>
          <w:color w:val="000000"/>
          <w:kern w:val="2"/>
          <w:sz w:val="20"/>
          <w:szCs w:val="20"/>
        </w:rPr>
        <w:t>标的</w:t>
      </w:r>
      <w:r>
        <w:rPr>
          <w:rFonts w:hint="eastAsia" w:ascii="宋体" w:hAnsi="宋体" w:eastAsia="宋体" w:cs="宋体"/>
          <w:b w:val="0"/>
          <w:bCs/>
          <w:color w:val="000000"/>
          <w:kern w:val="2"/>
          <w:sz w:val="20"/>
          <w:szCs w:val="20"/>
          <w:lang w:val="en-US" w:eastAsia="zh-CN"/>
        </w:rPr>
        <w:t>详情</w:t>
      </w:r>
      <w:r>
        <w:rPr>
          <w:rFonts w:hint="eastAsia" w:ascii="宋体" w:hAnsi="宋体" w:eastAsia="宋体" w:cs="宋体"/>
          <w:b w:val="0"/>
          <w:bCs/>
          <w:color w:val="000000"/>
          <w:kern w:val="2"/>
          <w:sz w:val="20"/>
          <w:szCs w:val="20"/>
          <w:shd w:val="clear" w:color="auto" w:fill="auto"/>
        </w:rPr>
        <w:t>：详见附件</w:t>
      </w:r>
      <w:r>
        <w:rPr>
          <w:rFonts w:hint="eastAsia" w:ascii="宋体" w:hAnsi="宋体" w:eastAsia="宋体" w:cs="宋体"/>
          <w:b w:val="0"/>
          <w:bCs/>
          <w:color w:val="000000"/>
          <w:kern w:val="2"/>
          <w:sz w:val="20"/>
          <w:szCs w:val="20"/>
          <w:highlight w:val="yellow"/>
          <w:shd w:val="clear" w:color="auto" w:fill="auto"/>
        </w:rPr>
        <w:t>《</w:t>
      </w:r>
      <w:r>
        <w:rPr>
          <w:rFonts w:hint="eastAsia" w:ascii="宋体" w:hAnsi="宋体" w:eastAsia="宋体" w:cs="宋体"/>
          <w:b w:val="0"/>
          <w:bCs/>
          <w:color w:val="000000"/>
          <w:kern w:val="2"/>
          <w:sz w:val="20"/>
          <w:szCs w:val="20"/>
          <w:highlight w:val="yellow"/>
          <w:shd w:val="clear" w:color="auto" w:fill="auto"/>
          <w:lang w:val="en-US" w:eastAsia="zh-CN"/>
        </w:rPr>
        <w:t>标的详情</w:t>
      </w:r>
      <w:r>
        <w:rPr>
          <w:rFonts w:hint="eastAsia" w:ascii="宋体" w:hAnsi="宋体" w:eastAsia="宋体" w:cs="宋体"/>
          <w:b w:val="0"/>
          <w:bCs/>
          <w:color w:val="000000"/>
          <w:kern w:val="2"/>
          <w:sz w:val="20"/>
          <w:szCs w:val="20"/>
          <w:highlight w:val="yellow"/>
        </w:rPr>
        <w:t>》（含</w:t>
      </w:r>
      <w:r>
        <w:rPr>
          <w:rFonts w:hint="eastAsia" w:ascii="宋体" w:hAnsi="宋体" w:eastAsia="宋体" w:cs="宋体"/>
          <w:b w:val="0"/>
          <w:bCs/>
          <w:color w:val="000000"/>
          <w:kern w:val="2"/>
          <w:sz w:val="20"/>
          <w:szCs w:val="20"/>
          <w:highlight w:val="yellow"/>
          <w:lang w:val="en-US" w:eastAsia="zh-CN"/>
        </w:rPr>
        <w:t>标的</w:t>
      </w:r>
      <w:r>
        <w:rPr>
          <w:rFonts w:hint="eastAsia" w:ascii="宋体" w:hAnsi="宋体" w:eastAsia="宋体" w:cs="宋体"/>
          <w:b w:val="0"/>
          <w:bCs/>
          <w:color w:val="000000"/>
          <w:kern w:val="2"/>
          <w:sz w:val="20"/>
          <w:szCs w:val="20"/>
          <w:highlight w:val="yellow"/>
        </w:rPr>
        <w:t>明细介绍、业务</w:t>
      </w:r>
      <w:r>
        <w:rPr>
          <w:rFonts w:hint="eastAsia" w:ascii="宋体" w:hAnsi="宋体" w:eastAsia="宋体" w:cs="宋体"/>
          <w:b w:val="0"/>
          <w:bCs/>
          <w:color w:val="000000"/>
          <w:kern w:val="2"/>
          <w:sz w:val="20"/>
          <w:szCs w:val="20"/>
          <w:highlight w:val="yellow"/>
          <w:lang w:val="en-US" w:eastAsia="zh-CN"/>
        </w:rPr>
        <w:t>运营方</w:t>
      </w:r>
      <w:r>
        <w:rPr>
          <w:rFonts w:hint="eastAsia" w:ascii="宋体" w:hAnsi="宋体" w:eastAsia="宋体" w:cs="宋体"/>
          <w:b w:val="0"/>
          <w:bCs/>
          <w:color w:val="000000"/>
          <w:kern w:val="2"/>
          <w:sz w:val="20"/>
          <w:szCs w:val="20"/>
          <w:highlight w:val="yellow"/>
        </w:rPr>
        <w:t>联系人）；</w:t>
      </w:r>
    </w:p>
    <w:p w14:paraId="10E123E0">
      <w:pPr>
        <w:pStyle w:val="23"/>
        <w:pageBreakBefore w:val="0"/>
        <w:widowControl/>
        <w:numPr>
          <w:ilvl w:val="0"/>
          <w:numId w:val="1"/>
        </w:numPr>
        <w:kinsoku/>
        <w:wordWrap/>
        <w:overflowPunct/>
        <w:topLinePunct w:val="0"/>
        <w:autoSpaceDE/>
        <w:autoSpaceDN/>
        <w:bidi w:val="0"/>
        <w:adjustRightInd w:val="0"/>
        <w:snapToGrid w:val="0"/>
        <w:spacing w:line="336" w:lineRule="auto"/>
        <w:ind w:left="0" w:leftChars="0" w:firstLine="400" w:firstLineChars="200"/>
        <w:jc w:val="left"/>
        <w:textAlignment w:val="auto"/>
        <w:rPr>
          <w:rFonts w:hint="eastAsia" w:ascii="宋体" w:hAnsi="宋体" w:eastAsia="宋体" w:cs="宋体"/>
          <w:b w:val="0"/>
          <w:bCs/>
          <w:color w:val="000000"/>
          <w:kern w:val="2"/>
          <w:sz w:val="20"/>
          <w:szCs w:val="20"/>
          <w:highlight w:val="none"/>
        </w:rPr>
      </w:pPr>
      <w:r>
        <w:rPr>
          <w:rFonts w:hint="eastAsia" w:ascii="宋体" w:hAnsi="宋体" w:eastAsia="宋体" w:cs="宋体"/>
          <w:b w:val="0"/>
          <w:bCs/>
          <w:color w:val="000000"/>
          <w:kern w:val="2"/>
          <w:sz w:val="20"/>
          <w:szCs w:val="20"/>
        </w:rPr>
        <w:t>技术商务</w:t>
      </w:r>
      <w:r>
        <w:rPr>
          <w:rFonts w:hint="eastAsia" w:ascii="宋体" w:hAnsi="宋体" w:eastAsia="宋体" w:cs="宋体"/>
          <w:b w:val="0"/>
          <w:bCs/>
          <w:color w:val="000000"/>
          <w:kern w:val="2"/>
          <w:sz w:val="20"/>
          <w:szCs w:val="20"/>
          <w:lang w:val="en-US" w:eastAsia="zh-CN"/>
        </w:rPr>
        <w:t>标准：详见附件</w:t>
      </w:r>
      <w:r>
        <w:rPr>
          <w:rFonts w:hint="eastAsia" w:ascii="宋体" w:hAnsi="宋体" w:eastAsia="宋体" w:cs="宋体"/>
          <w:b w:val="0"/>
          <w:bCs/>
          <w:color w:val="000000"/>
          <w:kern w:val="2"/>
          <w:sz w:val="20"/>
          <w:szCs w:val="20"/>
          <w:highlight w:val="yellow"/>
          <w:lang w:val="en-US" w:eastAsia="zh-CN"/>
        </w:rPr>
        <w:t>《技术商务标准》</w:t>
      </w:r>
      <w:r>
        <w:rPr>
          <w:rFonts w:hint="eastAsia" w:ascii="宋体" w:hAnsi="宋体" w:eastAsia="宋体" w:cs="宋体"/>
          <w:b w:val="0"/>
          <w:bCs/>
          <w:color w:val="000000"/>
          <w:kern w:val="2"/>
          <w:sz w:val="20"/>
          <w:szCs w:val="20"/>
          <w:highlight w:val="yellow"/>
        </w:rPr>
        <w:t>；</w:t>
      </w:r>
      <w:r>
        <w:rPr>
          <w:rFonts w:hint="eastAsia" w:ascii="宋体" w:hAnsi="宋体" w:cs="宋体"/>
          <w:bCs/>
          <w:color w:val="000000"/>
          <w:sz w:val="20"/>
          <w:szCs w:val="20"/>
          <w:highlight w:val="none"/>
        </w:rPr>
        <w:t>此标准将作为后续评标环节中对供应商商务及技术方面进行考量的重要依据，请供应商按照标准要求准备相关资料并进行申报。</w:t>
      </w:r>
    </w:p>
    <w:p w14:paraId="026A0952">
      <w:pPr>
        <w:pStyle w:val="23"/>
        <w:pageBreakBefore w:val="0"/>
        <w:widowControl/>
        <w:numPr>
          <w:ilvl w:val="0"/>
          <w:numId w:val="1"/>
        </w:numPr>
        <w:kinsoku/>
        <w:wordWrap/>
        <w:overflowPunct/>
        <w:topLinePunct w:val="0"/>
        <w:autoSpaceDE/>
        <w:autoSpaceDN/>
        <w:bidi w:val="0"/>
        <w:adjustRightInd w:val="0"/>
        <w:snapToGrid w:val="0"/>
        <w:spacing w:line="336" w:lineRule="auto"/>
        <w:ind w:left="0" w:leftChars="0" w:firstLine="400" w:firstLineChars="200"/>
        <w:jc w:val="left"/>
        <w:textAlignment w:val="auto"/>
        <w:rPr>
          <w:rFonts w:hint="eastAsia" w:ascii="宋体" w:hAnsi="宋体" w:eastAsia="宋体" w:cs="宋体"/>
          <w:b w:val="0"/>
          <w:bCs/>
          <w:color w:val="000000"/>
          <w:kern w:val="2"/>
          <w:sz w:val="20"/>
          <w:szCs w:val="20"/>
          <w:highlight w:val="none"/>
        </w:rPr>
      </w:pPr>
      <w:r>
        <w:rPr>
          <w:rFonts w:hint="eastAsia" w:ascii="宋体" w:hAnsi="宋体" w:eastAsia="宋体" w:cs="宋体"/>
          <w:color w:val="000000"/>
          <w:kern w:val="2"/>
          <w:sz w:val="20"/>
          <w:szCs w:val="20"/>
          <w:lang w:val="en-US" w:eastAsia="zh-CN"/>
        </w:rPr>
        <w:t>其他要求：其他未尽事宜以跨越速运合同条款为准，详见附件</w:t>
      </w:r>
      <w:r>
        <w:rPr>
          <w:rFonts w:hint="eastAsia" w:ascii="宋体" w:hAnsi="宋体" w:cs="宋体"/>
          <w:color w:val="000000"/>
          <w:sz w:val="20"/>
          <w:szCs w:val="20"/>
          <w:highlight w:val="yellow"/>
        </w:rPr>
        <w:t>《手动液压叉车采购框架合同》</w:t>
      </w:r>
      <w:r>
        <w:rPr>
          <w:rFonts w:hint="eastAsia" w:ascii="宋体" w:hAnsi="宋体" w:cs="宋体"/>
          <w:color w:val="000000"/>
          <w:kern w:val="2"/>
          <w:sz w:val="20"/>
          <w:szCs w:val="20"/>
          <w:highlight w:val="none"/>
          <w:lang w:val="en-US" w:eastAsia="zh-CN"/>
        </w:rPr>
        <w:t>；</w:t>
      </w:r>
      <w:r>
        <w:rPr>
          <w:rFonts w:hint="eastAsia" w:ascii="宋体" w:hAnsi="宋体" w:cs="宋体"/>
          <w:color w:val="000000"/>
          <w:sz w:val="20"/>
          <w:szCs w:val="20"/>
          <w:highlight w:val="none"/>
        </w:rPr>
        <w:t>供应商应认真研读合同条款，确保对所有要求清晰明了，并在后续参与过程中严格遵守。</w:t>
      </w:r>
    </w:p>
    <w:p w14:paraId="3BDCADBB">
      <w:pPr>
        <w:pStyle w:val="23"/>
        <w:pageBreakBefore w:val="0"/>
        <w:widowControl/>
        <w:numPr>
          <w:ilvl w:val="0"/>
          <w:numId w:val="1"/>
        </w:numPr>
        <w:kinsoku/>
        <w:wordWrap/>
        <w:overflowPunct/>
        <w:topLinePunct w:val="0"/>
        <w:autoSpaceDE/>
        <w:autoSpaceDN/>
        <w:bidi w:val="0"/>
        <w:adjustRightInd w:val="0"/>
        <w:snapToGrid w:val="0"/>
        <w:spacing w:line="336" w:lineRule="auto"/>
        <w:ind w:left="0" w:leftChars="0" w:firstLine="400" w:firstLineChars="200"/>
        <w:jc w:val="left"/>
        <w:textAlignment w:val="auto"/>
        <w:rPr>
          <w:rFonts w:hint="eastAsia" w:ascii="宋体" w:hAnsi="宋体" w:eastAsia="宋体" w:cs="宋体"/>
          <w:color w:val="000000"/>
          <w:kern w:val="2"/>
          <w:sz w:val="20"/>
          <w:szCs w:val="20"/>
        </w:rPr>
      </w:pPr>
      <w:r>
        <w:rPr>
          <w:rFonts w:hint="eastAsia" w:ascii="宋体" w:hAnsi="宋体" w:eastAsia="宋体" w:cs="宋体"/>
          <w:color w:val="000000"/>
          <w:kern w:val="2"/>
          <w:sz w:val="20"/>
          <w:szCs w:val="20"/>
          <w:lang w:val="en-US" w:eastAsia="zh-CN"/>
        </w:rPr>
        <w:t>合同签约期限：</w:t>
      </w:r>
      <w:r>
        <w:rPr>
          <w:rFonts w:hint="eastAsia" w:ascii="宋体" w:hAnsi="宋体" w:eastAsia="宋体" w:cs="宋体"/>
          <w:color w:val="000000"/>
          <w:kern w:val="2"/>
          <w:sz w:val="20"/>
          <w:szCs w:val="20"/>
          <w:highlight w:val="yellow"/>
          <w:lang w:val="en-US" w:eastAsia="zh-CN"/>
        </w:rPr>
        <w:t>预计202</w:t>
      </w:r>
      <w:r>
        <w:rPr>
          <w:rFonts w:hint="eastAsia" w:ascii="宋体" w:hAnsi="宋体" w:cs="宋体"/>
          <w:color w:val="000000"/>
          <w:kern w:val="2"/>
          <w:sz w:val="20"/>
          <w:szCs w:val="20"/>
          <w:highlight w:val="yellow"/>
          <w:lang w:val="en-US" w:eastAsia="zh-CN"/>
        </w:rPr>
        <w:t>6</w:t>
      </w:r>
      <w:r>
        <w:rPr>
          <w:rFonts w:hint="eastAsia" w:ascii="宋体" w:hAnsi="宋体" w:eastAsia="宋体" w:cs="宋体"/>
          <w:color w:val="000000"/>
          <w:kern w:val="2"/>
          <w:sz w:val="20"/>
          <w:szCs w:val="20"/>
          <w:highlight w:val="yellow"/>
          <w:lang w:val="en-US" w:eastAsia="zh-CN"/>
        </w:rPr>
        <w:t>年</w:t>
      </w:r>
      <w:r>
        <w:rPr>
          <w:rFonts w:hint="eastAsia" w:ascii="宋体" w:hAnsi="宋体" w:cs="宋体"/>
          <w:color w:val="000000"/>
          <w:kern w:val="2"/>
          <w:sz w:val="20"/>
          <w:szCs w:val="20"/>
          <w:highlight w:val="yellow"/>
          <w:lang w:val="en-US" w:eastAsia="zh-CN"/>
        </w:rPr>
        <w:t>1</w:t>
      </w:r>
      <w:r>
        <w:rPr>
          <w:rFonts w:hint="eastAsia" w:ascii="宋体" w:hAnsi="宋体" w:eastAsia="宋体" w:cs="宋体"/>
          <w:color w:val="000000"/>
          <w:kern w:val="2"/>
          <w:sz w:val="20"/>
          <w:szCs w:val="20"/>
          <w:highlight w:val="yellow"/>
          <w:lang w:val="en-US" w:eastAsia="zh-CN"/>
        </w:rPr>
        <w:t>月</w:t>
      </w:r>
      <w:r>
        <w:rPr>
          <w:rFonts w:hint="eastAsia" w:ascii="宋体" w:hAnsi="宋体" w:cs="宋体"/>
          <w:color w:val="000000"/>
          <w:kern w:val="2"/>
          <w:sz w:val="20"/>
          <w:szCs w:val="20"/>
          <w:highlight w:val="yellow"/>
          <w:lang w:val="en-US" w:eastAsia="zh-CN"/>
        </w:rPr>
        <w:t>1</w:t>
      </w:r>
      <w:r>
        <w:rPr>
          <w:rFonts w:hint="eastAsia" w:ascii="宋体" w:hAnsi="宋体" w:eastAsia="宋体" w:cs="宋体"/>
          <w:color w:val="000000"/>
          <w:kern w:val="2"/>
          <w:sz w:val="20"/>
          <w:szCs w:val="20"/>
          <w:highlight w:val="yellow"/>
          <w:lang w:val="en-US" w:eastAsia="zh-CN"/>
        </w:rPr>
        <w:t>日至202</w:t>
      </w:r>
      <w:r>
        <w:rPr>
          <w:rFonts w:hint="eastAsia" w:ascii="宋体" w:hAnsi="宋体" w:cs="宋体"/>
          <w:color w:val="000000"/>
          <w:kern w:val="2"/>
          <w:sz w:val="20"/>
          <w:szCs w:val="20"/>
          <w:highlight w:val="yellow"/>
          <w:lang w:val="en-US" w:eastAsia="zh-CN"/>
        </w:rPr>
        <w:t>6</w:t>
      </w:r>
      <w:r>
        <w:rPr>
          <w:rFonts w:hint="eastAsia" w:ascii="宋体" w:hAnsi="宋体" w:eastAsia="宋体" w:cs="宋体"/>
          <w:color w:val="000000"/>
          <w:kern w:val="2"/>
          <w:sz w:val="20"/>
          <w:szCs w:val="20"/>
          <w:highlight w:val="yellow"/>
          <w:lang w:val="en-US" w:eastAsia="zh-CN"/>
        </w:rPr>
        <w:t>年</w:t>
      </w:r>
      <w:r>
        <w:rPr>
          <w:rFonts w:hint="eastAsia" w:ascii="宋体" w:hAnsi="宋体" w:cs="宋体"/>
          <w:color w:val="000000"/>
          <w:kern w:val="2"/>
          <w:sz w:val="20"/>
          <w:szCs w:val="20"/>
          <w:highlight w:val="yellow"/>
          <w:lang w:val="en-US" w:eastAsia="zh-CN"/>
        </w:rPr>
        <w:t>12</w:t>
      </w:r>
      <w:r>
        <w:rPr>
          <w:rFonts w:hint="eastAsia" w:ascii="宋体" w:hAnsi="宋体" w:eastAsia="宋体" w:cs="宋体"/>
          <w:color w:val="000000"/>
          <w:kern w:val="2"/>
          <w:sz w:val="20"/>
          <w:szCs w:val="20"/>
          <w:highlight w:val="yellow"/>
          <w:lang w:val="en-US" w:eastAsia="zh-CN"/>
        </w:rPr>
        <w:t>月</w:t>
      </w:r>
      <w:r>
        <w:rPr>
          <w:rFonts w:hint="eastAsia" w:ascii="宋体" w:hAnsi="宋体" w:cs="宋体"/>
          <w:color w:val="000000"/>
          <w:kern w:val="2"/>
          <w:sz w:val="20"/>
          <w:szCs w:val="20"/>
          <w:highlight w:val="yellow"/>
          <w:lang w:val="en-US" w:eastAsia="zh-CN"/>
        </w:rPr>
        <w:t>31</w:t>
      </w:r>
      <w:r>
        <w:rPr>
          <w:rFonts w:hint="eastAsia" w:ascii="宋体" w:hAnsi="宋体" w:eastAsia="宋体" w:cs="宋体"/>
          <w:color w:val="000000"/>
          <w:kern w:val="2"/>
          <w:sz w:val="20"/>
          <w:szCs w:val="20"/>
          <w:highlight w:val="yellow"/>
          <w:lang w:val="en-US" w:eastAsia="zh-CN"/>
        </w:rPr>
        <w:t>日止</w:t>
      </w:r>
      <w:r>
        <w:rPr>
          <w:rFonts w:hint="eastAsia" w:ascii="宋体" w:hAnsi="宋体" w:cs="宋体"/>
          <w:color w:val="000000"/>
          <w:kern w:val="2"/>
          <w:sz w:val="20"/>
          <w:szCs w:val="20"/>
          <w:highlight w:val="yellow"/>
          <w:lang w:val="en-US" w:eastAsia="zh-CN"/>
        </w:rPr>
        <w:t>。</w:t>
      </w:r>
    </w:p>
    <w:p w14:paraId="2684FCDF">
      <w:pPr>
        <w:pStyle w:val="23"/>
        <w:pageBreakBefore w:val="0"/>
        <w:widowControl/>
        <w:numPr>
          <w:ilvl w:val="0"/>
          <w:numId w:val="1"/>
        </w:numPr>
        <w:kinsoku/>
        <w:wordWrap/>
        <w:overflowPunct/>
        <w:topLinePunct w:val="0"/>
        <w:autoSpaceDE/>
        <w:autoSpaceDN/>
        <w:bidi w:val="0"/>
        <w:adjustRightInd w:val="0"/>
        <w:snapToGrid w:val="0"/>
        <w:spacing w:line="336" w:lineRule="auto"/>
        <w:ind w:left="0" w:leftChars="0" w:firstLine="420" w:firstLineChars="200"/>
        <w:jc w:val="left"/>
        <w:textAlignment w:val="auto"/>
        <w:rPr>
          <w:rFonts w:hint="eastAsia" w:ascii="宋体" w:hAnsi="宋体" w:eastAsia="宋体" w:cs="宋体"/>
          <w:color w:val="000000"/>
          <w:kern w:val="2"/>
          <w:sz w:val="20"/>
          <w:szCs w:val="20"/>
        </w:rPr>
      </w:pPr>
      <w:r>
        <w:rPr>
          <w:rFonts w:hint="eastAsia" w:ascii="宋体" w:hAnsi="宋体" w:eastAsia="宋体" w:cs="宋体"/>
          <w:color w:val="333333"/>
          <w:kern w:val="0"/>
          <w:sz w:val="21"/>
          <w:szCs w:val="21"/>
          <w:highlight w:val="none"/>
          <w:lang w:val="en-US" w:eastAsia="zh-CN"/>
        </w:rPr>
        <w:t>结算账期：</w:t>
      </w:r>
      <w:r>
        <w:rPr>
          <w:rFonts w:hint="eastAsia" w:ascii="宋体" w:hAnsi="宋体" w:cs="宋体"/>
          <w:color w:val="000000"/>
          <w:sz w:val="20"/>
          <w:szCs w:val="20"/>
          <w:highlight w:val="yellow"/>
        </w:rPr>
        <w:t>以收到发票日为基准月结60天（不含当月）付款，若付款日为非工作日（包括但不限于周末、法定节假日），则招标单位付款日顺延至非工作日后的 5个工作日内</w:t>
      </w:r>
      <w:r>
        <w:rPr>
          <w:rFonts w:hint="eastAsia" w:ascii="宋体" w:hAnsi="宋体" w:eastAsia="宋体" w:cs="宋体"/>
          <w:i w:val="0"/>
          <w:iCs w:val="0"/>
          <w:caps w:val="0"/>
          <w:color w:val="000000"/>
          <w:spacing w:val="0"/>
          <w:sz w:val="20"/>
          <w:szCs w:val="20"/>
          <w:highlight w:val="yellow"/>
          <w:shd w:val="clear" w:color="auto" w:fill="auto"/>
        </w:rPr>
        <w:t>；</w:t>
      </w:r>
    </w:p>
    <w:p w14:paraId="57FA38CB">
      <w:pPr>
        <w:pStyle w:val="23"/>
        <w:pageBreakBefore w:val="0"/>
        <w:widowControl/>
        <w:numPr>
          <w:ilvl w:val="-1"/>
          <w:numId w:val="0"/>
        </w:numPr>
        <w:kinsoku/>
        <w:wordWrap/>
        <w:overflowPunct/>
        <w:topLinePunct w:val="0"/>
        <w:autoSpaceDE/>
        <w:autoSpaceDN/>
        <w:bidi w:val="0"/>
        <w:adjustRightInd w:val="0"/>
        <w:snapToGrid w:val="0"/>
        <w:spacing w:line="336" w:lineRule="auto"/>
        <w:ind w:left="0" w:leftChars="0" w:firstLine="0" w:firstLineChars="0"/>
        <w:jc w:val="left"/>
        <w:textAlignment w:val="auto"/>
        <w:rPr>
          <w:rFonts w:hint="eastAsia" w:ascii="宋体" w:hAnsi="宋体" w:eastAsia="宋体" w:cs="宋体"/>
          <w:color w:val="000000"/>
          <w:kern w:val="2"/>
          <w:sz w:val="20"/>
          <w:szCs w:val="20"/>
        </w:rPr>
      </w:pPr>
    </w:p>
    <w:p w14:paraId="43C68D08">
      <w:pPr>
        <w:numPr>
          <w:ilvl w:val="0"/>
          <w:numId w:val="0"/>
        </w:numPr>
        <w:rPr>
          <w:rFonts w:hint="eastAsia" w:ascii="Calibri" w:hAnsi="Calibri" w:eastAsia="宋体" w:cs="宋体"/>
          <w:b/>
          <w:bCs/>
          <w:kern w:val="2"/>
          <w:sz w:val="20"/>
          <w:szCs w:val="20"/>
        </w:rPr>
      </w:pPr>
      <w:r>
        <w:rPr>
          <w:rFonts w:hint="eastAsia" w:ascii="Calibri" w:hAnsi="Calibri" w:eastAsia="宋体" w:cs="宋体"/>
          <w:b/>
          <w:bCs/>
          <w:kern w:val="2"/>
          <w:sz w:val="20"/>
          <w:szCs w:val="20"/>
          <w:lang w:val="en-US" w:eastAsia="zh-CN"/>
        </w:rPr>
        <w:t>五、</w:t>
      </w:r>
      <w:r>
        <w:rPr>
          <w:rFonts w:hint="eastAsia" w:ascii="Calibri" w:hAnsi="Calibri" w:eastAsia="宋体" w:cs="宋体"/>
          <w:b/>
          <w:bCs/>
          <w:kern w:val="2"/>
          <w:sz w:val="20"/>
          <w:szCs w:val="20"/>
        </w:rPr>
        <w:t>参与招标</w:t>
      </w:r>
    </w:p>
    <w:p w14:paraId="56973D87">
      <w:pPr>
        <w:pageBreakBefore w:val="0"/>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color w:val="000000"/>
          <w:kern w:val="2"/>
          <w:sz w:val="20"/>
          <w:szCs w:val="20"/>
        </w:rPr>
      </w:pPr>
      <w:r>
        <w:rPr>
          <w:rFonts w:hint="eastAsia" w:ascii="宋体" w:hAnsi="宋体" w:eastAsia="宋体" w:cs="宋体"/>
          <w:b/>
          <w:color w:val="000000"/>
          <w:kern w:val="2"/>
          <w:sz w:val="20"/>
          <w:szCs w:val="20"/>
        </w:rPr>
        <w:t>1.</w:t>
      </w:r>
      <w:r>
        <w:rPr>
          <w:rFonts w:hint="eastAsia" w:ascii="宋体" w:hAnsi="宋体" w:eastAsia="宋体" w:cs="宋体"/>
          <w:b/>
          <w:color w:val="000000"/>
          <w:kern w:val="2"/>
          <w:sz w:val="20"/>
          <w:szCs w:val="20"/>
          <w:lang w:val="en-US" w:eastAsia="zh-CN"/>
        </w:rPr>
        <w:t>投标方</w:t>
      </w:r>
      <w:r>
        <w:rPr>
          <w:rFonts w:hint="eastAsia" w:ascii="宋体" w:hAnsi="宋体" w:eastAsia="宋体" w:cs="宋体"/>
          <w:b/>
          <w:color w:val="000000"/>
          <w:kern w:val="2"/>
          <w:sz w:val="20"/>
          <w:szCs w:val="20"/>
        </w:rPr>
        <w:t>资质要求</w:t>
      </w:r>
    </w:p>
    <w:p w14:paraId="7F6EE4C8">
      <w:pPr>
        <w:pageBreakBefore w:val="0"/>
        <w:numPr>
          <w:ilvl w:val="0"/>
          <w:numId w:val="2"/>
        </w:numPr>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val="0"/>
          <w:bCs/>
          <w:color w:val="000000"/>
          <w:sz w:val="20"/>
          <w:szCs w:val="20"/>
        </w:rPr>
      </w:pPr>
      <w:r>
        <w:rPr>
          <w:rFonts w:hint="eastAsia" w:ascii="宋体" w:hAnsi="宋体" w:eastAsia="宋体" w:cs="宋体"/>
          <w:b/>
          <w:bCs w:val="0"/>
          <w:color w:val="000000"/>
          <w:sz w:val="20"/>
          <w:szCs w:val="20"/>
        </w:rPr>
        <w:t>基本法人资质：</w:t>
      </w:r>
      <w:r>
        <w:rPr>
          <w:rFonts w:hint="eastAsia" w:ascii="宋体" w:hAnsi="宋体" w:eastAsia="宋体" w:cs="宋体"/>
          <w:b w:val="0"/>
          <w:bCs/>
          <w:color w:val="000000"/>
          <w:sz w:val="20"/>
          <w:szCs w:val="20"/>
        </w:rPr>
        <w:t>必须具有独立法人资格，具备独立承担民事责任能力，且未存在重大异常状态。需提供有效的《企业法人营业执照》《组织机构代码证》《税务登记证》（已三证合一的企业，此项不作要求）、《开户许可证》、《法人身份证》以及一般纳税人证明等有效证件。</w:t>
      </w:r>
    </w:p>
    <w:p w14:paraId="0D9040CD">
      <w:pPr>
        <w:pageBreakBefore w:val="0"/>
        <w:numPr>
          <w:ilvl w:val="-1"/>
          <w:numId w:val="0"/>
        </w:numPr>
        <w:kinsoku/>
        <w:wordWrap/>
        <w:overflowPunct/>
        <w:topLinePunct w:val="0"/>
        <w:autoSpaceDE/>
        <w:autoSpaceDN/>
        <w:bidi w:val="0"/>
        <w:adjustRightInd w:val="0"/>
        <w:snapToGrid w:val="0"/>
        <w:spacing w:line="336" w:lineRule="auto"/>
        <w:ind w:left="480" w:leftChars="200" w:firstLine="0" w:firstLineChars="0"/>
        <w:jc w:val="left"/>
        <w:textAlignment w:val="auto"/>
        <w:rPr>
          <w:rFonts w:hint="eastAsia" w:ascii="宋体" w:hAnsi="宋体" w:eastAsia="宋体" w:cs="宋体"/>
          <w:b w:val="0"/>
          <w:bCs/>
          <w:color w:val="000000"/>
          <w:sz w:val="20"/>
          <w:szCs w:val="20"/>
        </w:rPr>
      </w:pPr>
      <w:r>
        <w:rPr>
          <w:rFonts w:hint="eastAsia" w:ascii="宋体" w:hAnsi="宋体" w:eastAsia="宋体" w:cs="宋体"/>
          <w:b/>
          <w:bCs w:val="0"/>
          <w:color w:val="000000"/>
          <w:sz w:val="20"/>
          <w:szCs w:val="20"/>
        </w:rPr>
        <w:t>税务登记说明</w:t>
      </w:r>
      <w:r>
        <w:rPr>
          <w:rFonts w:hint="eastAsia" w:ascii="宋体" w:hAnsi="宋体" w:eastAsia="宋体" w:cs="宋体"/>
          <w:b w:val="0"/>
          <w:bCs/>
          <w:color w:val="000000"/>
          <w:sz w:val="20"/>
          <w:szCs w:val="20"/>
        </w:rPr>
        <w:t>：税务登记证上无一般纳税人红章的，需单独提供一般纳税人证明，以确保具备开具增值税专用发票的能力，且发票税率要求为</w:t>
      </w:r>
      <w:r>
        <w:rPr>
          <w:rFonts w:hint="eastAsia" w:ascii="宋体" w:hAnsi="宋体" w:eastAsia="宋体" w:cs="宋体"/>
          <w:b w:val="0"/>
          <w:bCs/>
          <w:color w:val="000000"/>
          <w:sz w:val="20"/>
          <w:szCs w:val="20"/>
          <w:highlight w:val="yellow"/>
        </w:rPr>
        <w:t xml:space="preserve"> </w:t>
      </w:r>
      <w:r>
        <w:rPr>
          <w:rFonts w:hint="eastAsia" w:ascii="宋体" w:hAnsi="宋体" w:eastAsia="宋体" w:cs="宋体"/>
          <w:b w:val="0"/>
          <w:bCs/>
          <w:color w:val="000000"/>
          <w:sz w:val="20"/>
          <w:szCs w:val="20"/>
          <w:highlight w:val="yellow"/>
          <w:lang w:val="en-US" w:eastAsia="zh-CN"/>
        </w:rPr>
        <w:t>13</w:t>
      </w:r>
      <w:r>
        <w:rPr>
          <w:rFonts w:hint="eastAsia" w:ascii="宋体" w:hAnsi="宋体" w:eastAsia="宋体" w:cs="宋体"/>
          <w:b w:val="0"/>
          <w:bCs/>
          <w:color w:val="000000"/>
          <w:sz w:val="20"/>
          <w:szCs w:val="20"/>
          <w:highlight w:val="yellow"/>
        </w:rPr>
        <w:t>%</w:t>
      </w:r>
      <w:r>
        <w:rPr>
          <w:rFonts w:hint="eastAsia" w:ascii="宋体" w:hAnsi="宋体" w:eastAsia="宋体" w:cs="宋体"/>
          <w:b w:val="0"/>
          <w:bCs/>
          <w:color w:val="000000"/>
          <w:sz w:val="20"/>
          <w:szCs w:val="20"/>
        </w:rPr>
        <w:t>。</w:t>
      </w:r>
    </w:p>
    <w:p w14:paraId="73A86782">
      <w:pPr>
        <w:pageBreakBefore w:val="0"/>
        <w:numPr>
          <w:ilvl w:val="-1"/>
          <w:numId w:val="0"/>
        </w:numPr>
        <w:kinsoku/>
        <w:wordWrap/>
        <w:overflowPunct/>
        <w:topLinePunct w:val="0"/>
        <w:autoSpaceDE/>
        <w:autoSpaceDN/>
        <w:bidi w:val="0"/>
        <w:adjustRightInd w:val="0"/>
        <w:snapToGrid w:val="0"/>
        <w:spacing w:line="336" w:lineRule="auto"/>
        <w:ind w:left="480" w:leftChars="200" w:firstLine="0" w:firstLineChars="0"/>
        <w:jc w:val="left"/>
        <w:textAlignment w:val="auto"/>
        <w:rPr>
          <w:rFonts w:hint="eastAsia" w:ascii="宋体" w:hAnsi="宋体" w:eastAsia="宋体" w:cs="宋体"/>
          <w:b w:val="0"/>
          <w:bCs/>
          <w:color w:val="000000"/>
          <w:sz w:val="20"/>
          <w:szCs w:val="20"/>
        </w:rPr>
      </w:pPr>
      <w:r>
        <w:rPr>
          <w:rFonts w:hint="eastAsia" w:ascii="宋体" w:hAnsi="宋体" w:eastAsia="宋体" w:cs="宋体"/>
          <w:b/>
          <w:bCs w:val="0"/>
          <w:color w:val="000000"/>
          <w:sz w:val="20"/>
          <w:szCs w:val="20"/>
        </w:rPr>
        <w:t>重大异常状态界定：</w:t>
      </w:r>
      <w:r>
        <w:rPr>
          <w:rFonts w:hint="eastAsia" w:ascii="宋体" w:hAnsi="宋体" w:eastAsia="宋体" w:cs="宋体"/>
          <w:b w:val="0"/>
          <w:bCs/>
          <w:color w:val="000000"/>
          <w:sz w:val="20"/>
          <w:szCs w:val="20"/>
        </w:rPr>
        <w:t>未存在重大异常状态，是指企业未被列入 “跨越速运限制投标有效期内的黑名单”、“与跨越速运存在尚未妥善解决的纠纷”、“市监局公示列入经营异常名录的企业”、“市监局公示严重违法失信名单的承运商”、“企业法人在被限高限飞期间”、“被责令停业、财产被接管、冻结，破产或可能破产状态” 等重大异常的状态。</w:t>
      </w:r>
    </w:p>
    <w:p w14:paraId="62A5AFDE">
      <w:pPr>
        <w:pageBreakBefore w:val="0"/>
        <w:numPr>
          <w:ilvl w:val="0"/>
          <w:numId w:val="2"/>
        </w:numPr>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val="0"/>
          <w:bCs/>
          <w:color w:val="000000"/>
          <w:sz w:val="20"/>
          <w:szCs w:val="20"/>
        </w:rPr>
      </w:pPr>
      <w:r>
        <w:rPr>
          <w:rFonts w:hint="eastAsia" w:ascii="宋体" w:hAnsi="宋体" w:eastAsia="宋体" w:cs="宋体"/>
          <w:b/>
          <w:bCs w:val="0"/>
          <w:color w:val="000000"/>
          <w:sz w:val="20"/>
          <w:szCs w:val="20"/>
        </w:rPr>
        <w:t>关联企业投标限制：</w:t>
      </w:r>
      <w:r>
        <w:rPr>
          <w:rFonts w:hint="eastAsia" w:ascii="宋体" w:hAnsi="宋体" w:eastAsia="宋体" w:cs="宋体"/>
          <w:b w:val="0"/>
          <w:bCs/>
          <w:color w:val="000000"/>
          <w:sz w:val="20"/>
          <w:szCs w:val="20"/>
        </w:rPr>
        <w:t>法定代表人为同一个的两个及两个以上法人，母公司、全资子公司及其控股公司，只能有一家参加此项目同一标的投标。法定代表人参股的企业，只允许一家参与同一标的投标，避免出现关联企业不正当竞争的情况。</w:t>
      </w:r>
    </w:p>
    <w:p w14:paraId="48F79DE2">
      <w:pPr>
        <w:pageBreakBefore w:val="0"/>
        <w:numPr>
          <w:ilvl w:val="0"/>
          <w:numId w:val="2"/>
        </w:numPr>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val="0"/>
          <w:bCs/>
          <w:color w:val="000000"/>
          <w:sz w:val="20"/>
          <w:szCs w:val="20"/>
          <w:highlight w:val="yellow"/>
        </w:rPr>
      </w:pPr>
      <w:r>
        <w:rPr>
          <w:rFonts w:hint="eastAsia" w:ascii="宋体" w:hAnsi="宋体" w:eastAsia="宋体" w:cs="宋体"/>
          <w:b/>
          <w:bCs w:val="0"/>
          <w:color w:val="000000"/>
          <w:sz w:val="20"/>
          <w:szCs w:val="20"/>
        </w:rPr>
        <w:t>公司注册及注册资金要求：</w:t>
      </w:r>
      <w:bookmarkStart w:id="4" w:name="_GoBack"/>
      <w:r>
        <w:rPr>
          <w:rFonts w:hint="eastAsia" w:ascii="宋体" w:hAnsi="宋体"/>
          <w:bCs/>
          <w:color w:val="000000"/>
          <w:sz w:val="20"/>
          <w:szCs w:val="20"/>
          <w:highlight w:val="yellow"/>
        </w:rPr>
        <w:t>成立年限：</w:t>
      </w:r>
      <w:r>
        <w:rPr>
          <w:rFonts w:hint="eastAsia" w:ascii="宋体" w:hAnsi="宋体"/>
          <w:bCs/>
          <w:color w:val="000000"/>
          <w:sz w:val="20"/>
          <w:szCs w:val="20"/>
          <w:highlight w:val="yellow"/>
          <w:lang w:val="en-US" w:eastAsia="zh-CN"/>
        </w:rPr>
        <w:t>手动液压叉车制造5</w:t>
      </w:r>
      <w:r>
        <w:rPr>
          <w:rFonts w:hint="eastAsia" w:ascii="宋体" w:hAnsi="宋体"/>
          <w:bCs/>
          <w:color w:val="000000"/>
          <w:sz w:val="20"/>
          <w:szCs w:val="20"/>
          <w:highlight w:val="yellow"/>
        </w:rPr>
        <w:t>年以上，注册资金：≥</w:t>
      </w:r>
      <w:r>
        <w:rPr>
          <w:rFonts w:hint="eastAsia" w:ascii="宋体" w:hAnsi="宋体"/>
          <w:bCs/>
          <w:color w:val="000000"/>
          <w:sz w:val="20"/>
          <w:szCs w:val="20"/>
          <w:highlight w:val="yellow"/>
          <w:lang w:val="en-US" w:eastAsia="zh-CN"/>
        </w:rPr>
        <w:t>5</w:t>
      </w:r>
      <w:r>
        <w:rPr>
          <w:rFonts w:hint="eastAsia" w:ascii="宋体" w:hAnsi="宋体"/>
          <w:bCs/>
          <w:color w:val="000000"/>
          <w:sz w:val="20"/>
          <w:szCs w:val="20"/>
          <w:highlight w:val="yellow"/>
        </w:rPr>
        <w:t>00万元</w:t>
      </w:r>
      <w:r>
        <w:rPr>
          <w:rFonts w:hint="eastAsia" w:ascii="宋体" w:hAnsi="宋体"/>
          <w:bCs/>
          <w:color w:val="000000"/>
          <w:sz w:val="20"/>
          <w:szCs w:val="20"/>
          <w:highlight w:val="yellow"/>
          <w:lang w:eastAsia="zh-CN"/>
        </w:rPr>
        <w:t>，</w:t>
      </w:r>
      <w:r>
        <w:rPr>
          <w:rFonts w:hint="eastAsia" w:ascii="宋体" w:hAnsi="宋体"/>
          <w:bCs/>
          <w:color w:val="000000"/>
          <w:sz w:val="20"/>
          <w:szCs w:val="20"/>
          <w:highlight w:val="yellow"/>
        </w:rPr>
        <w:t>供应商类型:生产工厂</w:t>
      </w:r>
      <w:r>
        <w:rPr>
          <w:rFonts w:hint="eastAsia" w:ascii="宋体" w:hAnsi="宋体"/>
          <w:bCs/>
          <w:color w:val="000000"/>
          <w:sz w:val="20"/>
          <w:szCs w:val="20"/>
          <w:highlight w:val="yellow"/>
          <w:lang w:val="en-US" w:eastAsia="zh-CN"/>
        </w:rPr>
        <w:t>或TOP前十品牌授权经销商</w:t>
      </w:r>
      <w:r>
        <w:rPr>
          <w:rFonts w:hint="eastAsia" w:ascii="宋体" w:hAnsi="宋体"/>
          <w:bCs/>
          <w:color w:val="000000"/>
          <w:sz w:val="20"/>
          <w:szCs w:val="20"/>
          <w:highlight w:val="yellow"/>
        </w:rPr>
        <w:t>，近半年内的“完税证明”，无作为被告的重大诉讼，未被列入失信被执行人，且近半年内无被税务等行政处罚记录</w:t>
      </w:r>
      <w:r>
        <w:rPr>
          <w:rFonts w:hint="eastAsia" w:ascii="宋体" w:hAnsi="宋体"/>
          <w:bCs/>
          <w:color w:val="000000"/>
          <w:sz w:val="20"/>
          <w:szCs w:val="20"/>
          <w:highlight w:val="yellow"/>
          <w:lang w:eastAsia="zh-CN"/>
        </w:rPr>
        <w:t>。</w:t>
      </w:r>
    </w:p>
    <w:bookmarkEnd w:id="4"/>
    <w:p w14:paraId="74569E18">
      <w:pPr>
        <w:pageBreakBefore w:val="0"/>
        <w:numPr>
          <w:ilvl w:val="0"/>
          <w:numId w:val="2"/>
        </w:numPr>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color w:val="000000"/>
          <w:kern w:val="2"/>
          <w:sz w:val="20"/>
          <w:szCs w:val="20"/>
        </w:rPr>
      </w:pPr>
      <w:r>
        <w:rPr>
          <w:rFonts w:hint="eastAsia" w:ascii="宋体" w:hAnsi="宋体" w:eastAsia="宋体" w:cs="宋体"/>
          <w:b/>
          <w:bCs w:val="0"/>
          <w:color w:val="000000"/>
          <w:sz w:val="20"/>
          <w:szCs w:val="20"/>
        </w:rPr>
        <w:t>其他特殊要求：</w:t>
      </w:r>
      <w:r>
        <w:rPr>
          <w:rFonts w:hint="eastAsia" w:ascii="宋体" w:hAnsi="宋体" w:eastAsia="宋体" w:cs="宋体"/>
          <w:b w:val="0"/>
          <w:bCs/>
          <w:color w:val="000000"/>
          <w:sz w:val="20"/>
          <w:szCs w:val="20"/>
        </w:rPr>
        <w:t>详见附件</w:t>
      </w:r>
      <w:r>
        <w:rPr>
          <w:rFonts w:hint="eastAsia" w:ascii="宋体" w:hAnsi="宋体" w:eastAsia="宋体" w:cs="宋体"/>
          <w:b w:val="0"/>
          <w:bCs/>
          <w:color w:val="000000"/>
          <w:sz w:val="20"/>
          <w:szCs w:val="20"/>
          <w:highlight w:val="yellow"/>
        </w:rPr>
        <w:t>《标的详情》</w:t>
      </w:r>
      <w:r>
        <w:rPr>
          <w:rFonts w:hint="eastAsia" w:ascii="宋体" w:hAnsi="宋体" w:eastAsia="宋体" w:cs="宋体"/>
          <w:b w:val="0"/>
          <w:bCs/>
          <w:color w:val="000000"/>
          <w:sz w:val="20"/>
          <w:szCs w:val="20"/>
        </w:rPr>
        <w:t>，供应商应仔细查看附件中提及的特殊要求，确保自身全面符合各项投标条件。</w:t>
      </w:r>
    </w:p>
    <w:p w14:paraId="1234FD63">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color w:val="000000"/>
          <w:kern w:val="2"/>
          <w:sz w:val="20"/>
          <w:szCs w:val="20"/>
        </w:rPr>
      </w:pPr>
      <w:r>
        <w:rPr>
          <w:rFonts w:hint="eastAsia" w:ascii="宋体" w:hAnsi="宋体" w:eastAsia="宋体" w:cs="宋体"/>
          <w:b/>
          <w:color w:val="000000"/>
          <w:kern w:val="2"/>
          <w:sz w:val="20"/>
          <w:szCs w:val="20"/>
        </w:rPr>
        <w:t>2.投标说明：</w:t>
      </w:r>
    </w:p>
    <w:p w14:paraId="0BBC665F">
      <w:pPr>
        <w:pStyle w:val="23"/>
        <w:pageBreakBefore w:val="0"/>
        <w:widowControl/>
        <w:numPr>
          <w:ilvl w:val="0"/>
          <w:numId w:val="3"/>
        </w:numPr>
        <w:kinsoku/>
        <w:wordWrap/>
        <w:overflowPunct/>
        <w:topLinePunct w:val="0"/>
        <w:autoSpaceDE/>
        <w:autoSpaceDN/>
        <w:bidi w:val="0"/>
        <w:adjustRightInd w:val="0"/>
        <w:snapToGrid w:val="0"/>
        <w:spacing w:line="336" w:lineRule="auto"/>
        <w:ind w:left="0" w:leftChars="0" w:firstLine="400" w:firstLineChars="200"/>
        <w:jc w:val="left"/>
        <w:textAlignment w:val="auto"/>
        <w:rPr>
          <w:rFonts w:hint="eastAsia" w:ascii="宋体" w:hAnsi="宋体" w:eastAsia="宋体" w:cs="宋体"/>
          <w:b w:val="0"/>
          <w:bCs/>
          <w:color w:val="000000"/>
          <w:kern w:val="2"/>
          <w:sz w:val="20"/>
          <w:szCs w:val="20"/>
        </w:rPr>
      </w:pPr>
      <w:r>
        <w:rPr>
          <w:rFonts w:hint="eastAsia" w:ascii="宋体" w:hAnsi="宋体" w:eastAsia="宋体" w:cs="宋体"/>
          <w:b w:val="0"/>
          <w:bCs/>
          <w:color w:val="000000"/>
          <w:kern w:val="2"/>
          <w:sz w:val="20"/>
          <w:szCs w:val="20"/>
        </w:rPr>
        <w:t>招标形式：全部参与</w:t>
      </w:r>
      <w:r>
        <w:rPr>
          <w:rFonts w:hint="eastAsia" w:ascii="宋体" w:hAnsi="宋体" w:cs="宋体"/>
          <w:b w:val="0"/>
          <w:bCs/>
          <w:color w:val="000000"/>
          <w:kern w:val="2"/>
          <w:sz w:val="20"/>
          <w:szCs w:val="20"/>
          <w:lang w:val="en-US" w:eastAsia="zh-CN"/>
        </w:rPr>
        <w:t>投标企业</w:t>
      </w:r>
      <w:r>
        <w:rPr>
          <w:rFonts w:hint="eastAsia" w:ascii="宋体" w:hAnsi="宋体" w:eastAsia="宋体" w:cs="宋体"/>
          <w:b w:val="0"/>
          <w:bCs/>
          <w:color w:val="000000"/>
          <w:kern w:val="2"/>
          <w:sz w:val="20"/>
          <w:szCs w:val="20"/>
        </w:rPr>
        <w:t>，均需在</w:t>
      </w:r>
      <w:r>
        <w:rPr>
          <w:rFonts w:hint="eastAsia" w:ascii="宋体" w:hAnsi="宋体" w:cs="宋体"/>
          <w:b w:val="0"/>
          <w:bCs/>
          <w:color w:val="000000"/>
          <w:kern w:val="2"/>
          <w:sz w:val="20"/>
          <w:szCs w:val="20"/>
          <w:lang w:val="en-US" w:eastAsia="zh-CN"/>
        </w:rPr>
        <w:t>供应商平台</w:t>
      </w:r>
      <w:r>
        <w:rPr>
          <w:rFonts w:hint="eastAsia" w:ascii="宋体" w:hAnsi="宋体" w:eastAsia="宋体" w:cs="宋体"/>
          <w:b w:val="0"/>
          <w:bCs/>
          <w:color w:val="000000"/>
          <w:kern w:val="2"/>
          <w:sz w:val="20"/>
          <w:szCs w:val="20"/>
        </w:rPr>
        <w:t>招标系统进行报名、报价，不接受线下邮件、纸质标书等形式投标；投标</w:t>
      </w:r>
      <w:r>
        <w:rPr>
          <w:rFonts w:hint="eastAsia" w:ascii="宋体" w:hAnsi="宋体" w:cs="宋体"/>
          <w:b w:val="0"/>
          <w:bCs/>
          <w:color w:val="000000"/>
          <w:kern w:val="2"/>
          <w:sz w:val="20"/>
          <w:szCs w:val="20"/>
          <w:lang w:val="en-US" w:eastAsia="zh-CN"/>
        </w:rPr>
        <w:t>方</w:t>
      </w:r>
      <w:r>
        <w:rPr>
          <w:rFonts w:hint="eastAsia" w:ascii="宋体" w:hAnsi="宋体" w:eastAsia="宋体" w:cs="宋体"/>
          <w:b w:val="0"/>
          <w:bCs/>
          <w:color w:val="000000"/>
          <w:kern w:val="2"/>
          <w:sz w:val="20"/>
          <w:szCs w:val="20"/>
        </w:rPr>
        <w:t>需对投标文件的真实性、准确性负责，一旦中标，投标书将作为合同的重要组成部分；</w:t>
      </w:r>
    </w:p>
    <w:p w14:paraId="1C9721AB">
      <w:pPr>
        <w:pStyle w:val="23"/>
        <w:pageBreakBefore w:val="0"/>
        <w:widowControl/>
        <w:numPr>
          <w:ilvl w:val="0"/>
          <w:numId w:val="3"/>
        </w:numPr>
        <w:kinsoku/>
        <w:wordWrap/>
        <w:overflowPunct/>
        <w:topLinePunct w:val="0"/>
        <w:autoSpaceDE/>
        <w:autoSpaceDN/>
        <w:bidi w:val="0"/>
        <w:adjustRightInd w:val="0"/>
        <w:snapToGrid w:val="0"/>
        <w:spacing w:line="336" w:lineRule="auto"/>
        <w:ind w:left="0" w:leftChars="0" w:firstLine="400" w:firstLineChars="200"/>
        <w:jc w:val="left"/>
        <w:textAlignment w:val="auto"/>
        <w:rPr>
          <w:rFonts w:hint="eastAsia" w:ascii="宋体" w:hAnsi="宋体" w:eastAsia="宋体" w:cs="宋体"/>
          <w:b w:val="0"/>
          <w:bCs/>
          <w:color w:val="000000"/>
          <w:kern w:val="2"/>
          <w:sz w:val="20"/>
          <w:szCs w:val="20"/>
          <w:highlight w:val="none"/>
        </w:rPr>
      </w:pPr>
      <w:r>
        <w:rPr>
          <w:rFonts w:hint="eastAsia" w:ascii="宋体" w:hAnsi="宋体" w:eastAsia="宋体" w:cs="宋体"/>
          <w:b w:val="0"/>
          <w:bCs/>
          <w:color w:val="000000"/>
          <w:kern w:val="2"/>
          <w:sz w:val="20"/>
          <w:szCs w:val="20"/>
          <w:highlight w:val="none"/>
        </w:rPr>
        <w:t>评标维度：依据投标</w:t>
      </w:r>
      <w:r>
        <w:rPr>
          <w:rFonts w:hint="eastAsia" w:ascii="宋体" w:hAnsi="宋体" w:cs="宋体"/>
          <w:b w:val="0"/>
          <w:bCs/>
          <w:color w:val="000000"/>
          <w:kern w:val="2"/>
          <w:sz w:val="20"/>
          <w:szCs w:val="20"/>
          <w:highlight w:val="none"/>
          <w:lang w:val="en-US" w:eastAsia="zh-CN"/>
        </w:rPr>
        <w:t>方</w:t>
      </w:r>
      <w:r>
        <w:rPr>
          <w:rFonts w:hint="eastAsia" w:ascii="宋体" w:hAnsi="宋体" w:eastAsia="宋体" w:cs="宋体"/>
          <w:b w:val="0"/>
          <w:bCs/>
          <w:color w:val="000000"/>
          <w:kern w:val="2"/>
          <w:sz w:val="20"/>
          <w:szCs w:val="20"/>
          <w:highlight w:val="none"/>
        </w:rPr>
        <w:t>的商务</w:t>
      </w:r>
      <w:r>
        <w:rPr>
          <w:rFonts w:hint="eastAsia" w:ascii="宋体" w:hAnsi="宋体" w:eastAsia="宋体" w:cs="宋体"/>
          <w:b w:val="0"/>
          <w:bCs/>
          <w:color w:val="000000"/>
          <w:kern w:val="2"/>
          <w:sz w:val="20"/>
          <w:szCs w:val="20"/>
          <w:highlight w:val="none"/>
          <w:lang w:eastAsia="zh-CN"/>
        </w:rPr>
        <w:t>得分</w:t>
      </w:r>
      <w:r>
        <w:rPr>
          <w:rFonts w:hint="eastAsia" w:ascii="宋体" w:hAnsi="宋体" w:cs="宋体"/>
          <w:b w:val="0"/>
          <w:bCs/>
          <w:color w:val="000000"/>
          <w:kern w:val="2"/>
          <w:sz w:val="20"/>
          <w:szCs w:val="20"/>
          <w:highlight w:val="none"/>
          <w:lang w:val="en-US" w:eastAsia="zh-CN"/>
        </w:rPr>
        <w:t>及提供样车的技术得分</w:t>
      </w:r>
      <w:r>
        <w:rPr>
          <w:rFonts w:hint="eastAsia" w:ascii="宋体" w:hAnsi="宋体" w:eastAsia="宋体" w:cs="宋体"/>
          <w:b w:val="0"/>
          <w:bCs/>
          <w:color w:val="000000"/>
          <w:kern w:val="2"/>
          <w:sz w:val="20"/>
          <w:szCs w:val="20"/>
          <w:highlight w:val="none"/>
          <w:lang w:eastAsia="zh-CN"/>
        </w:rPr>
        <w:t>综合</w:t>
      </w:r>
      <w:r>
        <w:rPr>
          <w:rFonts w:hint="eastAsia" w:ascii="宋体" w:hAnsi="宋体" w:eastAsia="宋体" w:cs="宋体"/>
          <w:b w:val="0"/>
          <w:bCs/>
          <w:color w:val="000000"/>
          <w:kern w:val="2"/>
          <w:sz w:val="20"/>
          <w:szCs w:val="20"/>
          <w:highlight w:val="none"/>
        </w:rPr>
        <w:t>评定；</w:t>
      </w:r>
    </w:p>
    <w:p w14:paraId="3587F253">
      <w:pPr>
        <w:pStyle w:val="23"/>
        <w:pageBreakBefore w:val="0"/>
        <w:widowControl/>
        <w:numPr>
          <w:ilvl w:val="0"/>
          <w:numId w:val="3"/>
        </w:numPr>
        <w:kinsoku/>
        <w:wordWrap/>
        <w:overflowPunct/>
        <w:topLinePunct w:val="0"/>
        <w:autoSpaceDE/>
        <w:autoSpaceDN/>
        <w:bidi w:val="0"/>
        <w:adjustRightInd w:val="0"/>
        <w:snapToGrid w:val="0"/>
        <w:spacing w:line="336" w:lineRule="auto"/>
        <w:ind w:left="0" w:leftChars="0" w:firstLine="400" w:firstLineChars="200"/>
        <w:jc w:val="left"/>
        <w:textAlignment w:val="auto"/>
        <w:rPr>
          <w:rFonts w:hint="eastAsia" w:ascii="宋体" w:hAnsi="宋体" w:eastAsia="宋体" w:cs="宋体"/>
          <w:b w:val="0"/>
          <w:bCs/>
          <w:color w:val="000000"/>
          <w:kern w:val="2"/>
          <w:sz w:val="20"/>
          <w:szCs w:val="20"/>
          <w:highlight w:val="none"/>
        </w:rPr>
      </w:pPr>
      <w:r>
        <w:rPr>
          <w:rFonts w:hint="eastAsia" w:ascii="宋体" w:hAnsi="宋体" w:eastAsia="宋体" w:cs="宋体"/>
          <w:b w:val="0"/>
          <w:bCs/>
          <w:color w:val="000000"/>
          <w:kern w:val="2"/>
          <w:sz w:val="20"/>
          <w:szCs w:val="20"/>
          <w:highlight w:val="none"/>
        </w:rPr>
        <w:t>商务标说明：参与投标</w:t>
      </w:r>
      <w:r>
        <w:rPr>
          <w:rFonts w:hint="eastAsia" w:ascii="宋体" w:hAnsi="宋体" w:cs="宋体"/>
          <w:b w:val="0"/>
          <w:bCs/>
          <w:color w:val="000000"/>
          <w:kern w:val="2"/>
          <w:sz w:val="20"/>
          <w:szCs w:val="20"/>
          <w:highlight w:val="none"/>
          <w:lang w:val="en-US" w:eastAsia="zh-CN"/>
        </w:rPr>
        <w:t>企业</w:t>
      </w:r>
      <w:r>
        <w:rPr>
          <w:rFonts w:hint="eastAsia" w:ascii="宋体" w:hAnsi="宋体" w:eastAsia="宋体" w:cs="宋体"/>
          <w:b w:val="0"/>
          <w:bCs/>
          <w:color w:val="000000"/>
          <w:kern w:val="2"/>
          <w:sz w:val="20"/>
          <w:szCs w:val="20"/>
          <w:highlight w:val="none"/>
        </w:rPr>
        <w:t>需按时在系统完成报价</w:t>
      </w:r>
      <w:r>
        <w:rPr>
          <w:rFonts w:hint="eastAsia" w:ascii="宋体" w:hAnsi="宋体" w:cs="宋体"/>
          <w:b w:val="0"/>
          <w:bCs/>
          <w:color w:val="000000"/>
          <w:kern w:val="2"/>
          <w:sz w:val="20"/>
          <w:szCs w:val="20"/>
          <w:highlight w:val="none"/>
          <w:lang w:eastAsia="zh-CN"/>
        </w:rPr>
        <w:t>、</w:t>
      </w:r>
      <w:r>
        <w:rPr>
          <w:rFonts w:hint="eastAsia" w:ascii="宋体" w:hAnsi="宋体" w:cs="宋体"/>
          <w:b w:val="0"/>
          <w:bCs/>
          <w:color w:val="000000"/>
          <w:kern w:val="2"/>
          <w:sz w:val="20"/>
          <w:szCs w:val="20"/>
          <w:highlight w:val="none"/>
          <w:lang w:val="en-US" w:eastAsia="zh-CN"/>
        </w:rPr>
        <w:t>竞价</w:t>
      </w:r>
      <w:r>
        <w:rPr>
          <w:rFonts w:hint="eastAsia" w:ascii="宋体" w:hAnsi="宋体" w:eastAsia="宋体" w:cs="宋体"/>
          <w:b w:val="0"/>
          <w:bCs/>
          <w:color w:val="000000"/>
          <w:kern w:val="2"/>
          <w:sz w:val="20"/>
          <w:szCs w:val="20"/>
          <w:highlight w:val="none"/>
        </w:rPr>
        <w:t>，超期</w:t>
      </w:r>
      <w:r>
        <w:rPr>
          <w:rFonts w:hint="eastAsia" w:ascii="宋体" w:hAnsi="宋体" w:cs="宋体"/>
          <w:b w:val="0"/>
          <w:bCs/>
          <w:color w:val="000000"/>
          <w:kern w:val="2"/>
          <w:sz w:val="20"/>
          <w:szCs w:val="20"/>
          <w:highlight w:val="none"/>
          <w:lang w:val="en-US" w:eastAsia="zh-CN"/>
        </w:rPr>
        <w:t>将无法报价、竞价</w:t>
      </w:r>
      <w:r>
        <w:rPr>
          <w:rFonts w:hint="eastAsia" w:ascii="宋体" w:hAnsi="宋体" w:eastAsia="宋体" w:cs="宋体"/>
          <w:b w:val="0"/>
          <w:bCs/>
          <w:color w:val="000000"/>
          <w:kern w:val="2"/>
          <w:sz w:val="20"/>
          <w:szCs w:val="20"/>
          <w:highlight w:val="none"/>
        </w:rPr>
        <w:t>；</w:t>
      </w:r>
    </w:p>
    <w:p w14:paraId="59C3AA39">
      <w:pPr>
        <w:pageBreakBefore w:val="0"/>
        <w:widowControl/>
        <w:tabs>
          <w:tab w:val="left" w:pos="7035"/>
        </w:tabs>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kern w:val="2"/>
          <w:sz w:val="20"/>
          <w:szCs w:val="20"/>
        </w:rPr>
      </w:pPr>
      <w:r>
        <w:rPr>
          <w:rFonts w:hint="eastAsia" w:ascii="宋体" w:hAnsi="宋体" w:eastAsia="宋体" w:cs="宋体"/>
          <w:b/>
          <w:kern w:val="2"/>
          <w:sz w:val="20"/>
          <w:szCs w:val="20"/>
        </w:rPr>
        <w:t>3.报名报价说明</w:t>
      </w:r>
      <w:r>
        <w:rPr>
          <w:rFonts w:hint="eastAsia" w:ascii="宋体" w:hAnsi="宋体" w:eastAsia="宋体" w:cs="宋体"/>
          <w:b/>
          <w:kern w:val="2"/>
          <w:sz w:val="20"/>
          <w:szCs w:val="20"/>
        </w:rPr>
        <w:tab/>
      </w:r>
    </w:p>
    <w:p w14:paraId="437F9EFC">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color w:val="000000"/>
          <w:kern w:val="2"/>
          <w:sz w:val="20"/>
          <w:szCs w:val="20"/>
        </w:rPr>
      </w:pPr>
      <w:r>
        <w:rPr>
          <w:rFonts w:hint="eastAsia" w:ascii="宋体" w:hAnsi="宋体" w:eastAsia="宋体" w:cs="宋体"/>
          <w:b/>
          <w:color w:val="000000"/>
          <w:kern w:val="2"/>
          <w:sz w:val="20"/>
          <w:szCs w:val="20"/>
        </w:rPr>
        <w:t>（1）报名</w:t>
      </w:r>
      <w:r>
        <w:rPr>
          <w:rFonts w:hint="eastAsia" w:ascii="宋体" w:hAnsi="宋体" w:eastAsia="宋体" w:cs="宋体"/>
          <w:b/>
          <w:color w:val="000000"/>
          <w:kern w:val="2"/>
          <w:sz w:val="20"/>
          <w:szCs w:val="20"/>
          <w:lang w:val="en-US" w:eastAsia="zh-CN"/>
        </w:rPr>
        <w:t>说明</w:t>
      </w:r>
      <w:r>
        <w:rPr>
          <w:rFonts w:hint="eastAsia" w:ascii="宋体" w:hAnsi="宋体" w:eastAsia="宋体" w:cs="宋体"/>
          <w:color w:val="000000"/>
          <w:kern w:val="2"/>
          <w:sz w:val="20"/>
          <w:szCs w:val="20"/>
        </w:rPr>
        <w:t>：</w:t>
      </w:r>
    </w:p>
    <w:p w14:paraId="3F1C9748">
      <w:pPr>
        <w:pageBreakBefore w:val="0"/>
        <w:widowControl/>
        <w:numPr>
          <w:ilvl w:val="0"/>
          <w:numId w:val="4"/>
        </w:numPr>
        <w:kinsoku/>
        <w:wordWrap/>
        <w:overflowPunct/>
        <w:topLinePunct w:val="0"/>
        <w:autoSpaceDE/>
        <w:autoSpaceDN/>
        <w:bidi w:val="0"/>
        <w:adjustRightInd w:val="0"/>
        <w:snapToGrid w:val="0"/>
        <w:spacing w:line="336" w:lineRule="auto"/>
        <w:ind w:left="0" w:leftChars="0" w:firstLine="400" w:firstLineChars="200"/>
        <w:jc w:val="left"/>
        <w:textAlignment w:val="auto"/>
        <w:rPr>
          <w:rFonts w:hint="eastAsia" w:ascii="宋体" w:hAnsi="宋体" w:eastAsia="宋体" w:cs="宋体"/>
          <w:color w:val="000000"/>
          <w:kern w:val="2"/>
          <w:sz w:val="20"/>
          <w:szCs w:val="20"/>
          <w:lang w:val="en-US" w:eastAsia="zh-CN"/>
        </w:rPr>
      </w:pPr>
      <w:r>
        <w:rPr>
          <w:rFonts w:hint="eastAsia" w:ascii="宋体" w:hAnsi="宋体" w:eastAsia="宋体" w:cs="宋体"/>
          <w:color w:val="000000"/>
          <w:kern w:val="2"/>
          <w:sz w:val="20"/>
          <w:szCs w:val="20"/>
          <w:lang w:val="en-US" w:eastAsia="zh-CN"/>
        </w:rPr>
        <w:t>移动端：微信关注“跨越精采”微信公众号，注册/登录供应商平台，在“我要投标”→“招标大厅”搜索招标编码</w:t>
      </w:r>
      <w:r>
        <w:rPr>
          <w:rStyle w:val="15"/>
          <w:rFonts w:ascii="宋体" w:hAnsi="宋体"/>
          <w:b/>
          <w:bCs/>
          <w:sz w:val="20"/>
          <w:szCs w:val="20"/>
          <w:highlight w:val="yellow"/>
        </w:rPr>
        <w:t>KYZB202508009227</w:t>
      </w:r>
      <w:r>
        <w:rPr>
          <w:rFonts w:hint="eastAsia" w:ascii="宋体" w:hAnsi="宋体" w:eastAsia="宋体" w:cs="宋体"/>
          <w:color w:val="000000"/>
          <w:kern w:val="2"/>
          <w:sz w:val="20"/>
          <w:szCs w:val="20"/>
          <w:lang w:val="en-US" w:eastAsia="zh-CN"/>
        </w:rPr>
        <w:t>，进行报名。</w:t>
      </w:r>
    </w:p>
    <w:p w14:paraId="3D5F9EFE">
      <w:pPr>
        <w:pageBreakBefore w:val="0"/>
        <w:widowControl/>
        <w:numPr>
          <w:ilvl w:val="0"/>
          <w:numId w:val="4"/>
        </w:numPr>
        <w:kinsoku/>
        <w:wordWrap/>
        <w:overflowPunct/>
        <w:topLinePunct w:val="0"/>
        <w:autoSpaceDE/>
        <w:autoSpaceDN/>
        <w:bidi w:val="0"/>
        <w:adjustRightInd w:val="0"/>
        <w:snapToGrid w:val="0"/>
        <w:spacing w:line="336" w:lineRule="auto"/>
        <w:ind w:left="0" w:leftChars="0" w:firstLine="400" w:firstLineChars="200"/>
        <w:jc w:val="left"/>
        <w:textAlignment w:val="auto"/>
        <w:rPr>
          <w:rFonts w:hint="eastAsia" w:ascii="宋体" w:hAnsi="宋体" w:eastAsia="宋体" w:cs="宋体"/>
          <w:color w:val="000000"/>
          <w:kern w:val="2"/>
          <w:sz w:val="20"/>
          <w:szCs w:val="20"/>
          <w:lang w:val="en-US" w:eastAsia="zh-CN"/>
        </w:rPr>
      </w:pPr>
      <w:r>
        <w:rPr>
          <w:rFonts w:hint="eastAsia" w:ascii="宋体" w:hAnsi="宋体" w:eastAsia="宋体" w:cs="宋体"/>
          <w:color w:val="000000"/>
          <w:kern w:val="2"/>
          <w:sz w:val="20"/>
          <w:szCs w:val="20"/>
          <w:lang w:val="en-US" w:eastAsia="zh-CN"/>
        </w:rPr>
        <w:t>PC端网址：https://zb.ky-express.com，注册/登录供应商平台，在“招标管理”→“招标大厅”搜索招标编码</w:t>
      </w:r>
      <w:r>
        <w:rPr>
          <w:rStyle w:val="15"/>
          <w:rFonts w:ascii="宋体" w:hAnsi="宋体"/>
          <w:b/>
          <w:bCs/>
          <w:sz w:val="20"/>
          <w:szCs w:val="20"/>
          <w:highlight w:val="yellow"/>
        </w:rPr>
        <w:t>KYZB202508009227</w:t>
      </w:r>
      <w:r>
        <w:rPr>
          <w:rFonts w:hint="eastAsia" w:ascii="宋体" w:hAnsi="宋体" w:eastAsia="宋体" w:cs="宋体"/>
          <w:color w:val="000000"/>
          <w:kern w:val="2"/>
          <w:sz w:val="20"/>
          <w:szCs w:val="20"/>
          <w:lang w:val="en-US" w:eastAsia="zh-CN"/>
        </w:rPr>
        <w:t>，进行报名。</w:t>
      </w:r>
    </w:p>
    <w:p w14:paraId="4269DC7D">
      <w:pPr>
        <w:pageBreakBefore w:val="0"/>
        <w:widowControl/>
        <w:numPr>
          <w:ilvl w:val="0"/>
          <w:numId w:val="4"/>
        </w:numPr>
        <w:kinsoku/>
        <w:wordWrap/>
        <w:overflowPunct/>
        <w:topLinePunct w:val="0"/>
        <w:autoSpaceDE/>
        <w:autoSpaceDN/>
        <w:bidi w:val="0"/>
        <w:adjustRightInd w:val="0"/>
        <w:snapToGrid w:val="0"/>
        <w:spacing w:line="336" w:lineRule="auto"/>
        <w:ind w:left="0" w:leftChars="0" w:firstLine="420" w:firstLineChars="200"/>
        <w:jc w:val="left"/>
        <w:textAlignment w:val="auto"/>
        <w:rPr>
          <w:rFonts w:hint="eastAsia" w:ascii="宋体" w:hAnsi="宋体" w:eastAsia="宋体" w:cs="宋体"/>
          <w:color w:val="333333"/>
          <w:kern w:val="0"/>
          <w:sz w:val="21"/>
          <w:szCs w:val="21"/>
          <w:lang w:val="en-US" w:eastAsia="zh-CN"/>
        </w:rPr>
      </w:pPr>
      <w:r>
        <w:rPr>
          <w:rFonts w:hint="eastAsia" w:ascii="宋体" w:hAnsi="宋体" w:eastAsia="宋体" w:cs="宋体"/>
          <w:color w:val="333333"/>
          <w:kern w:val="0"/>
          <w:sz w:val="21"/>
          <w:szCs w:val="21"/>
          <w:lang w:val="en-US" w:eastAsia="zh-CN"/>
        </w:rPr>
        <w:t>为保证招投标的公平、公正及有效性。</w:t>
      </w:r>
      <w:r>
        <w:rPr>
          <w:rFonts w:hint="eastAsia" w:ascii="宋体" w:hAnsi="宋体" w:eastAsia="宋体" w:cs="宋体"/>
          <w:b/>
          <w:bCs/>
          <w:color w:val="FF0000"/>
          <w:kern w:val="0"/>
          <w:sz w:val="21"/>
          <w:szCs w:val="21"/>
          <w:lang w:val="en-US" w:eastAsia="zh-CN"/>
        </w:rPr>
        <w:t>初次投标方须交纳</w:t>
      </w:r>
      <w:r>
        <w:rPr>
          <w:rFonts w:hint="eastAsia" w:ascii="宋体" w:hAnsi="宋体" w:cs="宋体"/>
          <w:b/>
          <w:bCs/>
          <w:color w:val="FF0000"/>
          <w:kern w:val="0"/>
          <w:sz w:val="21"/>
          <w:szCs w:val="21"/>
          <w:highlight w:val="yellow"/>
          <w:lang w:val="en-US" w:eastAsia="zh-CN"/>
        </w:rPr>
        <w:t>10</w:t>
      </w:r>
      <w:r>
        <w:rPr>
          <w:rFonts w:hint="eastAsia" w:ascii="宋体" w:hAnsi="宋体" w:eastAsia="宋体" w:cs="宋体"/>
          <w:b/>
          <w:bCs/>
          <w:color w:val="FF0000"/>
          <w:kern w:val="0"/>
          <w:sz w:val="21"/>
          <w:szCs w:val="21"/>
          <w:highlight w:val="yellow"/>
          <w:lang w:val="en-US" w:eastAsia="zh-CN"/>
        </w:rPr>
        <w:t>万</w:t>
      </w:r>
      <w:r>
        <w:rPr>
          <w:rFonts w:hint="eastAsia" w:ascii="宋体" w:hAnsi="宋体" w:eastAsia="宋体" w:cs="宋体"/>
          <w:b/>
          <w:bCs/>
          <w:color w:val="FF0000"/>
          <w:kern w:val="0"/>
          <w:sz w:val="21"/>
          <w:szCs w:val="21"/>
          <w:lang w:val="en-US" w:eastAsia="zh-CN"/>
        </w:rPr>
        <w:t>元保证金</w:t>
      </w:r>
      <w:r>
        <w:rPr>
          <w:rFonts w:hint="eastAsia" w:ascii="宋体" w:hAnsi="宋体" w:eastAsia="宋体" w:cs="宋体"/>
          <w:color w:val="333333"/>
          <w:kern w:val="0"/>
          <w:sz w:val="21"/>
          <w:szCs w:val="21"/>
          <w:lang w:val="en-US" w:eastAsia="zh-CN"/>
        </w:rPr>
        <w:t>。未满足上述条件者取消投标资格。</w:t>
      </w:r>
    </w:p>
    <w:p w14:paraId="6068B9A3">
      <w:pPr>
        <w:pageBreakBefore w:val="0"/>
        <w:widowControl/>
        <w:numPr>
          <w:ilvl w:val="0"/>
          <w:numId w:val="4"/>
        </w:numPr>
        <w:kinsoku/>
        <w:wordWrap/>
        <w:overflowPunct/>
        <w:topLinePunct w:val="0"/>
        <w:autoSpaceDE/>
        <w:autoSpaceDN/>
        <w:bidi w:val="0"/>
        <w:adjustRightInd w:val="0"/>
        <w:snapToGrid w:val="0"/>
        <w:spacing w:line="336" w:lineRule="auto"/>
        <w:ind w:left="0" w:leftChars="0" w:firstLine="420" w:firstLineChars="200"/>
        <w:jc w:val="left"/>
        <w:textAlignment w:val="auto"/>
        <w:rPr>
          <w:rFonts w:hint="eastAsia" w:ascii="宋体" w:hAnsi="宋体" w:eastAsia="宋体" w:cs="宋体"/>
          <w:color w:val="333333"/>
          <w:kern w:val="0"/>
          <w:sz w:val="21"/>
          <w:szCs w:val="21"/>
          <w:lang w:val="en-US" w:eastAsia="zh-CN"/>
        </w:rPr>
      </w:pPr>
      <w:r>
        <w:rPr>
          <w:rFonts w:hint="eastAsia" w:ascii="宋体" w:hAnsi="宋体" w:eastAsia="宋体" w:cs="宋体"/>
          <w:color w:val="333333"/>
          <w:kern w:val="0"/>
          <w:sz w:val="21"/>
          <w:szCs w:val="21"/>
          <w:lang w:val="en-US" w:eastAsia="zh-CN"/>
        </w:rPr>
        <w:t>报名后续安排：请及时上传相关资料并按时报价，参与入围标的议价，配合跨越进行现场考察;</w:t>
      </w:r>
    </w:p>
    <w:p w14:paraId="17CA8437">
      <w:pPr>
        <w:pageBreakBefore w:val="0"/>
        <w:widowControl/>
        <w:numPr>
          <w:ilvl w:val="0"/>
          <w:numId w:val="5"/>
        </w:numPr>
        <w:kinsoku/>
        <w:wordWrap/>
        <w:overflowPunct/>
        <w:topLinePunct w:val="0"/>
        <w:autoSpaceDE/>
        <w:autoSpaceDN/>
        <w:bidi w:val="0"/>
        <w:adjustRightInd w:val="0"/>
        <w:snapToGrid w:val="0"/>
        <w:spacing w:line="336" w:lineRule="auto"/>
        <w:ind w:left="78" w:leftChars="0" w:firstLine="402" w:firstLineChars="0"/>
        <w:jc w:val="left"/>
        <w:textAlignment w:val="auto"/>
        <w:rPr>
          <w:rFonts w:hint="eastAsia" w:ascii="宋体" w:hAnsi="宋体" w:eastAsia="宋体" w:cs="宋体"/>
          <w:color w:val="000000"/>
          <w:kern w:val="2"/>
          <w:sz w:val="20"/>
          <w:szCs w:val="20"/>
          <w:lang w:val="en-US" w:eastAsia="zh-CN"/>
        </w:rPr>
      </w:pPr>
      <w:r>
        <w:rPr>
          <w:rFonts w:hint="eastAsia" w:ascii="宋体" w:hAnsi="宋体" w:eastAsia="宋体" w:cs="宋体"/>
          <w:b/>
          <w:color w:val="000000"/>
          <w:kern w:val="2"/>
          <w:sz w:val="20"/>
          <w:szCs w:val="20"/>
          <w:lang w:val="en-US" w:eastAsia="zh-CN"/>
        </w:rPr>
        <w:t>报价说明</w:t>
      </w:r>
      <w:r>
        <w:rPr>
          <w:rFonts w:hint="eastAsia" w:ascii="宋体" w:hAnsi="宋体" w:eastAsia="宋体" w:cs="宋体"/>
          <w:color w:val="000000"/>
          <w:kern w:val="2"/>
          <w:sz w:val="20"/>
          <w:szCs w:val="20"/>
        </w:rPr>
        <w:t>：</w:t>
      </w:r>
    </w:p>
    <w:p w14:paraId="48AA4367">
      <w:pPr>
        <w:pageBreakBefore w:val="0"/>
        <w:widowControl/>
        <w:numPr>
          <w:ilvl w:val="0"/>
          <w:numId w:val="0"/>
        </w:numPr>
        <w:kinsoku/>
        <w:wordWrap/>
        <w:overflowPunct/>
        <w:topLinePunct w:val="0"/>
        <w:autoSpaceDE/>
        <w:autoSpaceDN/>
        <w:bidi w:val="0"/>
        <w:adjustRightInd w:val="0"/>
        <w:snapToGrid w:val="0"/>
        <w:spacing w:line="336" w:lineRule="auto"/>
        <w:ind w:firstLine="400" w:firstLineChars="200"/>
        <w:jc w:val="left"/>
        <w:textAlignment w:val="auto"/>
        <w:rPr>
          <w:rFonts w:hint="eastAsia" w:ascii="宋体" w:hAnsi="宋体" w:eastAsia="宋体" w:cs="宋体"/>
          <w:b/>
          <w:bCs/>
          <w:color w:val="000000"/>
          <w:kern w:val="2"/>
          <w:sz w:val="20"/>
          <w:szCs w:val="20"/>
          <w:highlight w:val="none"/>
          <w:lang w:val="en-US" w:eastAsia="zh-CN"/>
        </w:rPr>
      </w:pPr>
      <w:r>
        <w:rPr>
          <w:rFonts w:hint="eastAsia" w:ascii="宋体" w:hAnsi="宋体" w:eastAsia="宋体" w:cs="宋体"/>
          <w:color w:val="000000"/>
          <w:kern w:val="2"/>
          <w:sz w:val="20"/>
          <w:szCs w:val="20"/>
          <w:highlight w:val="none"/>
          <w:lang w:val="en-US" w:eastAsia="zh-CN"/>
        </w:rPr>
        <w:t>竞价环节为线上最终价格，仅有一次报价机会，请谨慎报价！</w:t>
      </w:r>
    </w:p>
    <w:p w14:paraId="2DD0C0AA">
      <w:pPr>
        <w:pageBreakBefore w:val="0"/>
        <w:widowControl/>
        <w:kinsoku/>
        <w:wordWrap/>
        <w:overflowPunct/>
        <w:topLinePunct w:val="0"/>
        <w:autoSpaceDE/>
        <w:autoSpaceDN/>
        <w:bidi w:val="0"/>
        <w:adjustRightInd w:val="0"/>
        <w:snapToGrid w:val="0"/>
        <w:spacing w:line="336" w:lineRule="auto"/>
        <w:ind w:left="0" w:leftChars="0" w:firstLine="400" w:firstLineChars="200"/>
        <w:jc w:val="left"/>
        <w:textAlignment w:val="auto"/>
        <w:rPr>
          <w:rFonts w:hint="eastAsia" w:ascii="宋体" w:hAnsi="宋体" w:eastAsia="宋体" w:cs="宋体"/>
          <w:color w:val="000000"/>
          <w:kern w:val="2"/>
          <w:sz w:val="20"/>
          <w:szCs w:val="20"/>
          <w:lang w:val="en-US" w:eastAsia="zh-CN"/>
        </w:rPr>
      </w:pPr>
      <w:r>
        <w:rPr>
          <w:rFonts w:hint="eastAsia" w:ascii="宋体" w:hAnsi="宋体" w:eastAsia="宋体" w:cs="宋体"/>
          <w:color w:val="000000"/>
          <w:kern w:val="2"/>
          <w:sz w:val="20"/>
          <w:szCs w:val="20"/>
          <w:lang w:val="en-US" w:eastAsia="zh-CN"/>
        </w:rPr>
        <w:t>备注：若线上报价未达我司预期，跨越速运会以邮件或短信方式通知竞价第一名</w:t>
      </w:r>
      <w:r>
        <w:rPr>
          <w:rFonts w:hint="eastAsia" w:ascii="宋体" w:hAnsi="宋体" w:cs="宋体"/>
          <w:color w:val="000000"/>
          <w:kern w:val="2"/>
          <w:sz w:val="20"/>
          <w:szCs w:val="20"/>
          <w:lang w:val="en-US" w:eastAsia="zh-CN"/>
        </w:rPr>
        <w:t>、第二名</w:t>
      </w:r>
      <w:r>
        <w:rPr>
          <w:rFonts w:hint="eastAsia" w:ascii="宋体" w:hAnsi="宋体" w:eastAsia="宋体" w:cs="宋体"/>
          <w:color w:val="000000"/>
          <w:kern w:val="2"/>
          <w:sz w:val="20"/>
          <w:szCs w:val="20"/>
          <w:lang w:val="en-US" w:eastAsia="zh-CN"/>
        </w:rPr>
        <w:t>投标方进入议价环节。</w:t>
      </w:r>
    </w:p>
    <w:p w14:paraId="48047FF1">
      <w:pPr>
        <w:pageBreakBefore w:val="0"/>
        <w:widowControl/>
        <w:kinsoku/>
        <w:wordWrap/>
        <w:overflowPunct/>
        <w:topLinePunct w:val="0"/>
        <w:autoSpaceDE/>
        <w:autoSpaceDN/>
        <w:bidi w:val="0"/>
        <w:adjustRightInd w:val="0"/>
        <w:snapToGrid w:val="0"/>
        <w:spacing w:line="336" w:lineRule="auto"/>
        <w:ind w:left="0" w:leftChars="0" w:firstLine="400" w:firstLineChars="200"/>
        <w:jc w:val="left"/>
        <w:textAlignment w:val="auto"/>
        <w:rPr>
          <w:rFonts w:hint="eastAsia" w:ascii="宋体" w:hAnsi="宋体" w:eastAsia="宋体" w:cs="宋体"/>
          <w:color w:val="000000"/>
          <w:kern w:val="2"/>
          <w:sz w:val="20"/>
          <w:szCs w:val="20"/>
        </w:rPr>
      </w:pPr>
      <w:r>
        <w:rPr>
          <w:rFonts w:hint="eastAsia" w:ascii="宋体" w:hAnsi="宋体" w:eastAsia="宋体" w:cs="宋体"/>
          <w:color w:val="000000"/>
          <w:kern w:val="2"/>
          <w:sz w:val="20"/>
          <w:szCs w:val="20"/>
        </w:rPr>
        <w:t>（</w:t>
      </w:r>
      <w:r>
        <w:rPr>
          <w:rFonts w:hint="eastAsia" w:ascii="宋体" w:hAnsi="宋体" w:eastAsia="宋体" w:cs="宋体"/>
          <w:color w:val="000000"/>
          <w:kern w:val="2"/>
          <w:sz w:val="20"/>
          <w:szCs w:val="20"/>
          <w:lang w:val="en-US" w:eastAsia="zh-CN"/>
        </w:rPr>
        <w:t>3</w:t>
      </w:r>
      <w:r>
        <w:rPr>
          <w:rFonts w:hint="eastAsia" w:ascii="宋体" w:hAnsi="宋体" w:eastAsia="宋体" w:cs="宋体"/>
          <w:color w:val="000000"/>
          <w:kern w:val="2"/>
          <w:sz w:val="20"/>
          <w:szCs w:val="20"/>
        </w:rPr>
        <w:t>）</w:t>
      </w:r>
      <w:r>
        <w:rPr>
          <w:rFonts w:hint="eastAsia" w:ascii="宋体" w:hAnsi="宋体" w:eastAsia="宋体" w:cs="宋体"/>
          <w:color w:val="000000"/>
          <w:sz w:val="20"/>
          <w:szCs w:val="20"/>
        </w:rPr>
        <w:t>线上系统报价结果均真实有效，请谨慎报价。投标人在参与所有投标项目过程中，投标报价将严格以供应商平台所记录的报价为准。在此特别强调，若投标方试图通过微信、邮件、短信或书面通知等任何非供应商平台途径对已提交报价进行修改，且该修改行为未事先获得跨越明确的书面认可，那么此类修改均不具备法律效力，一概视为无效操作，相应投标报价仍以供应商平台初始记录为准，各供应商务必严格遵守此项规定，避免因违规操作影响投标结果。</w:t>
      </w:r>
    </w:p>
    <w:p w14:paraId="126E8589">
      <w:pPr>
        <w:pStyle w:val="23"/>
        <w:pageBreakBefore w:val="0"/>
        <w:widowControl/>
        <w:numPr>
          <w:ilvl w:val="0"/>
          <w:numId w:val="6"/>
        </w:numPr>
        <w:kinsoku/>
        <w:wordWrap/>
        <w:overflowPunct/>
        <w:topLinePunct w:val="0"/>
        <w:autoSpaceDE/>
        <w:autoSpaceDN/>
        <w:bidi w:val="0"/>
        <w:adjustRightInd w:val="0"/>
        <w:snapToGrid w:val="0"/>
        <w:spacing w:line="336" w:lineRule="auto"/>
        <w:ind w:left="300" w:leftChars="0" w:firstLine="0" w:firstLineChars="0"/>
        <w:jc w:val="left"/>
        <w:textAlignment w:val="auto"/>
        <w:rPr>
          <w:rFonts w:hint="default" w:ascii="宋体" w:hAnsi="宋体" w:eastAsia="宋体" w:cs="宋体"/>
          <w:b/>
          <w:bCs w:val="0"/>
          <w:color w:val="000000"/>
          <w:kern w:val="2"/>
          <w:sz w:val="20"/>
          <w:szCs w:val="20"/>
          <w:lang w:val="en-US" w:eastAsia="zh-CN"/>
        </w:rPr>
      </w:pPr>
      <w:r>
        <w:rPr>
          <w:rFonts w:hint="eastAsia" w:ascii="宋体" w:hAnsi="宋体" w:cs="宋体"/>
          <w:b/>
          <w:bCs w:val="0"/>
          <w:color w:val="000000"/>
          <w:kern w:val="2"/>
          <w:sz w:val="20"/>
          <w:szCs w:val="20"/>
          <w:lang w:val="en-US" w:eastAsia="zh-CN"/>
        </w:rPr>
        <w:t>保证金说明</w:t>
      </w:r>
    </w:p>
    <w:p w14:paraId="299CB211">
      <w:pPr>
        <w:pStyle w:val="23"/>
        <w:pageBreakBefore w:val="0"/>
        <w:widowControl/>
        <w:numPr>
          <w:ilvl w:val="0"/>
          <w:numId w:val="0"/>
        </w:numPr>
        <w:kinsoku/>
        <w:wordWrap/>
        <w:overflowPunct/>
        <w:topLinePunct w:val="0"/>
        <w:autoSpaceDE/>
        <w:autoSpaceDN/>
        <w:bidi w:val="0"/>
        <w:adjustRightInd w:val="0"/>
        <w:snapToGrid w:val="0"/>
        <w:spacing w:line="336" w:lineRule="auto"/>
        <w:ind w:firstLine="402" w:firstLineChars="200"/>
        <w:jc w:val="left"/>
        <w:textAlignment w:val="auto"/>
        <w:rPr>
          <w:rFonts w:hint="eastAsia" w:ascii="宋体" w:hAnsi="宋体" w:eastAsia="宋体" w:cs="宋体"/>
          <w:b/>
          <w:kern w:val="2"/>
          <w:sz w:val="20"/>
          <w:szCs w:val="20"/>
        </w:rPr>
      </w:pPr>
      <w:r>
        <w:rPr>
          <w:rFonts w:hint="eastAsia" w:ascii="宋体" w:hAnsi="宋体" w:eastAsia="宋体" w:cs="宋体"/>
          <w:b/>
          <w:kern w:val="2"/>
          <w:sz w:val="20"/>
          <w:szCs w:val="20"/>
          <w:lang w:val="en-US" w:eastAsia="zh-CN"/>
        </w:rPr>
        <w:t>投标保证金指定</w:t>
      </w:r>
      <w:r>
        <w:rPr>
          <w:rFonts w:hint="eastAsia" w:ascii="宋体" w:hAnsi="宋体" w:cs="宋体"/>
          <w:b/>
          <w:kern w:val="2"/>
          <w:sz w:val="20"/>
          <w:szCs w:val="20"/>
          <w:lang w:val="en-US" w:eastAsia="zh-CN"/>
        </w:rPr>
        <w:t>打款</w:t>
      </w:r>
      <w:r>
        <w:rPr>
          <w:rFonts w:hint="eastAsia" w:ascii="宋体" w:hAnsi="宋体" w:eastAsia="宋体" w:cs="宋体"/>
          <w:b/>
          <w:kern w:val="2"/>
          <w:sz w:val="20"/>
          <w:szCs w:val="20"/>
          <w:lang w:val="en-US" w:eastAsia="zh-CN"/>
        </w:rPr>
        <w:t>账户</w:t>
      </w:r>
      <w:r>
        <w:rPr>
          <w:rFonts w:hint="eastAsia" w:ascii="宋体" w:hAnsi="宋体" w:eastAsia="宋体" w:cs="宋体"/>
          <w:b/>
          <w:kern w:val="2"/>
          <w:sz w:val="20"/>
          <w:szCs w:val="20"/>
        </w:rPr>
        <w:t>：</w:t>
      </w:r>
    </w:p>
    <w:p w14:paraId="59151506">
      <w:pPr>
        <w:pStyle w:val="23"/>
        <w:pageBreakBefore w:val="0"/>
        <w:widowControl/>
        <w:numPr>
          <w:ilvl w:val="4"/>
          <w:numId w:val="0"/>
        </w:numPr>
        <w:kinsoku/>
        <w:wordWrap/>
        <w:overflowPunct/>
        <w:topLinePunct w:val="0"/>
        <w:autoSpaceDE/>
        <w:autoSpaceDN/>
        <w:bidi w:val="0"/>
        <w:adjustRightInd w:val="0"/>
        <w:snapToGrid w:val="0"/>
        <w:spacing w:line="336" w:lineRule="auto"/>
        <w:ind w:leftChars="200"/>
        <w:jc w:val="left"/>
        <w:textAlignment w:val="auto"/>
        <w:rPr>
          <w:rFonts w:hint="eastAsia" w:ascii="宋体" w:hAnsi="宋体" w:eastAsia="宋体" w:cs="宋体"/>
          <w:b w:val="0"/>
          <w:bCs/>
          <w:color w:val="000000"/>
          <w:kern w:val="2"/>
          <w:sz w:val="20"/>
          <w:szCs w:val="20"/>
          <w:lang w:val="en-US" w:eastAsia="zh-CN"/>
        </w:rPr>
      </w:pPr>
      <w:r>
        <w:rPr>
          <w:rFonts w:hint="eastAsia" w:ascii="宋体" w:hAnsi="宋体" w:eastAsia="宋体" w:cs="宋体"/>
          <w:b w:val="0"/>
          <w:bCs/>
          <w:color w:val="000000"/>
          <w:kern w:val="2"/>
          <w:sz w:val="20"/>
          <w:szCs w:val="20"/>
          <w:lang w:val="en-US" w:eastAsia="zh-CN"/>
        </w:rPr>
        <w:t>账户名称：跨越速运集团有限公司</w:t>
      </w:r>
    </w:p>
    <w:p w14:paraId="61A6A708">
      <w:pPr>
        <w:pStyle w:val="23"/>
        <w:pageBreakBefore w:val="0"/>
        <w:widowControl/>
        <w:numPr>
          <w:ilvl w:val="4"/>
          <w:numId w:val="0"/>
        </w:numPr>
        <w:kinsoku/>
        <w:wordWrap/>
        <w:overflowPunct/>
        <w:topLinePunct w:val="0"/>
        <w:autoSpaceDE/>
        <w:autoSpaceDN/>
        <w:bidi w:val="0"/>
        <w:adjustRightInd w:val="0"/>
        <w:snapToGrid w:val="0"/>
        <w:spacing w:line="336" w:lineRule="auto"/>
        <w:ind w:leftChars="200"/>
        <w:jc w:val="left"/>
        <w:textAlignment w:val="auto"/>
        <w:rPr>
          <w:rFonts w:hint="eastAsia" w:ascii="宋体" w:hAnsi="宋体" w:eastAsia="宋体" w:cs="宋体"/>
          <w:b w:val="0"/>
          <w:bCs/>
          <w:color w:val="000000"/>
          <w:kern w:val="2"/>
          <w:sz w:val="20"/>
          <w:szCs w:val="20"/>
          <w:lang w:val="en-US" w:eastAsia="zh-CN"/>
        </w:rPr>
      </w:pPr>
      <w:r>
        <w:rPr>
          <w:rFonts w:hint="eastAsia" w:ascii="宋体" w:hAnsi="宋体" w:eastAsia="宋体" w:cs="宋体"/>
          <w:b w:val="0"/>
          <w:bCs/>
          <w:color w:val="000000"/>
          <w:kern w:val="2"/>
          <w:sz w:val="20"/>
          <w:szCs w:val="20"/>
          <w:lang w:val="en-US" w:eastAsia="zh-CN"/>
        </w:rPr>
        <w:t>开户行：中国建设银行深圳机场支行</w:t>
      </w:r>
    </w:p>
    <w:p w14:paraId="026D98A3">
      <w:pPr>
        <w:pStyle w:val="23"/>
        <w:pageBreakBefore w:val="0"/>
        <w:widowControl/>
        <w:numPr>
          <w:ilvl w:val="4"/>
          <w:numId w:val="0"/>
        </w:numPr>
        <w:kinsoku/>
        <w:wordWrap/>
        <w:overflowPunct/>
        <w:topLinePunct w:val="0"/>
        <w:autoSpaceDE/>
        <w:autoSpaceDN/>
        <w:bidi w:val="0"/>
        <w:adjustRightInd w:val="0"/>
        <w:snapToGrid w:val="0"/>
        <w:spacing w:line="336" w:lineRule="auto"/>
        <w:ind w:leftChars="200"/>
        <w:jc w:val="left"/>
        <w:textAlignment w:val="auto"/>
        <w:rPr>
          <w:rFonts w:hint="eastAsia" w:ascii="宋体" w:hAnsi="宋体" w:eastAsia="宋体" w:cs="宋体"/>
          <w:b w:val="0"/>
          <w:bCs/>
          <w:color w:val="000000"/>
          <w:kern w:val="2"/>
          <w:sz w:val="20"/>
          <w:szCs w:val="20"/>
          <w:lang w:val="en-US" w:eastAsia="zh-CN"/>
        </w:rPr>
      </w:pPr>
      <w:r>
        <w:rPr>
          <w:rFonts w:hint="eastAsia" w:ascii="宋体" w:hAnsi="宋体" w:eastAsia="宋体" w:cs="宋体"/>
          <w:b w:val="0"/>
          <w:bCs/>
          <w:color w:val="000000"/>
          <w:kern w:val="2"/>
          <w:sz w:val="20"/>
          <w:szCs w:val="20"/>
          <w:lang w:val="en-US" w:eastAsia="zh-CN"/>
        </w:rPr>
        <w:t>账号：4425</w:t>
      </w:r>
      <w:r>
        <w:rPr>
          <w:rFonts w:hint="eastAsia" w:ascii="宋体" w:hAnsi="宋体" w:cs="宋体"/>
          <w:b w:val="0"/>
          <w:bCs/>
          <w:color w:val="000000"/>
          <w:kern w:val="2"/>
          <w:sz w:val="20"/>
          <w:szCs w:val="20"/>
          <w:lang w:val="en-US" w:eastAsia="zh-CN"/>
        </w:rPr>
        <w:t xml:space="preserve"> </w:t>
      </w:r>
      <w:r>
        <w:rPr>
          <w:rFonts w:hint="eastAsia" w:ascii="宋体" w:hAnsi="宋体" w:eastAsia="宋体" w:cs="宋体"/>
          <w:b w:val="0"/>
          <w:bCs/>
          <w:color w:val="000000"/>
          <w:kern w:val="2"/>
          <w:sz w:val="20"/>
          <w:szCs w:val="20"/>
          <w:lang w:val="en-US" w:eastAsia="zh-CN"/>
        </w:rPr>
        <w:t>0100</w:t>
      </w:r>
      <w:r>
        <w:rPr>
          <w:rFonts w:hint="eastAsia" w:ascii="宋体" w:hAnsi="宋体" w:cs="宋体"/>
          <w:b w:val="0"/>
          <w:bCs/>
          <w:color w:val="000000"/>
          <w:kern w:val="2"/>
          <w:sz w:val="20"/>
          <w:szCs w:val="20"/>
          <w:lang w:val="en-US" w:eastAsia="zh-CN"/>
        </w:rPr>
        <w:t xml:space="preserve"> </w:t>
      </w:r>
      <w:r>
        <w:rPr>
          <w:rFonts w:hint="eastAsia" w:ascii="宋体" w:hAnsi="宋体" w:eastAsia="宋体" w:cs="宋体"/>
          <w:b w:val="0"/>
          <w:bCs/>
          <w:color w:val="000000"/>
          <w:kern w:val="2"/>
          <w:sz w:val="20"/>
          <w:szCs w:val="20"/>
          <w:lang w:val="en-US" w:eastAsia="zh-CN"/>
        </w:rPr>
        <w:t>0046</w:t>
      </w:r>
      <w:r>
        <w:rPr>
          <w:rFonts w:hint="eastAsia" w:ascii="宋体" w:hAnsi="宋体" w:cs="宋体"/>
          <w:b w:val="0"/>
          <w:bCs/>
          <w:color w:val="000000"/>
          <w:kern w:val="2"/>
          <w:sz w:val="20"/>
          <w:szCs w:val="20"/>
          <w:lang w:val="en-US" w:eastAsia="zh-CN"/>
        </w:rPr>
        <w:t xml:space="preserve"> </w:t>
      </w:r>
      <w:r>
        <w:rPr>
          <w:rFonts w:hint="eastAsia" w:ascii="宋体" w:hAnsi="宋体" w:eastAsia="宋体" w:cs="宋体"/>
          <w:b w:val="0"/>
          <w:bCs/>
          <w:color w:val="000000"/>
          <w:kern w:val="2"/>
          <w:sz w:val="20"/>
          <w:szCs w:val="20"/>
          <w:lang w:val="en-US" w:eastAsia="zh-CN"/>
        </w:rPr>
        <w:t>0000</w:t>
      </w:r>
      <w:r>
        <w:rPr>
          <w:rFonts w:hint="eastAsia" w:ascii="宋体" w:hAnsi="宋体" w:cs="宋体"/>
          <w:b w:val="0"/>
          <w:bCs/>
          <w:color w:val="000000"/>
          <w:kern w:val="2"/>
          <w:sz w:val="20"/>
          <w:szCs w:val="20"/>
          <w:lang w:val="en-US" w:eastAsia="zh-CN"/>
        </w:rPr>
        <w:t xml:space="preserve"> </w:t>
      </w:r>
      <w:r>
        <w:rPr>
          <w:rFonts w:hint="eastAsia" w:ascii="宋体" w:hAnsi="宋体" w:eastAsia="宋体" w:cs="宋体"/>
          <w:b w:val="0"/>
          <w:bCs/>
          <w:color w:val="000000"/>
          <w:kern w:val="2"/>
          <w:sz w:val="20"/>
          <w:szCs w:val="20"/>
          <w:lang w:val="en-US" w:eastAsia="zh-CN"/>
        </w:rPr>
        <w:t>0031</w:t>
      </w:r>
    </w:p>
    <w:p w14:paraId="5F9D4734">
      <w:pPr>
        <w:pStyle w:val="23"/>
        <w:pageBreakBefore w:val="0"/>
        <w:widowControl/>
        <w:numPr>
          <w:ilvl w:val="4"/>
          <w:numId w:val="0"/>
        </w:numPr>
        <w:kinsoku/>
        <w:wordWrap/>
        <w:overflowPunct/>
        <w:topLinePunct w:val="0"/>
        <w:autoSpaceDE/>
        <w:autoSpaceDN/>
        <w:bidi w:val="0"/>
        <w:adjustRightInd w:val="0"/>
        <w:snapToGrid w:val="0"/>
        <w:spacing w:line="336" w:lineRule="auto"/>
        <w:ind w:leftChars="200"/>
        <w:jc w:val="left"/>
        <w:textAlignment w:val="auto"/>
        <w:rPr>
          <w:rFonts w:hint="eastAsia" w:ascii="宋体" w:hAnsi="宋体" w:eastAsia="宋体" w:cs="宋体"/>
          <w:b w:val="0"/>
          <w:bCs/>
          <w:color w:val="000000"/>
          <w:kern w:val="2"/>
          <w:sz w:val="20"/>
          <w:szCs w:val="20"/>
          <w:lang w:val="en-US" w:eastAsia="zh-CN"/>
        </w:rPr>
      </w:pPr>
      <w:r>
        <w:rPr>
          <w:rFonts w:hint="eastAsia" w:ascii="宋体" w:hAnsi="宋体" w:eastAsia="宋体" w:cs="宋体"/>
          <w:b w:val="0"/>
          <w:bCs/>
          <w:color w:val="000000"/>
          <w:kern w:val="2"/>
          <w:sz w:val="20"/>
          <w:szCs w:val="20"/>
          <w:lang w:val="en-US" w:eastAsia="zh-CN"/>
        </w:rPr>
        <w:t>注意：对公账户转款，请备注“</w:t>
      </w:r>
      <w:r>
        <w:rPr>
          <w:rFonts w:hint="eastAsia" w:ascii="宋体" w:hAnsi="宋体" w:eastAsia="宋体" w:cs="宋体"/>
          <w:b w:val="0"/>
          <w:bCs/>
          <w:color w:val="000000"/>
          <w:kern w:val="2"/>
          <w:sz w:val="20"/>
          <w:szCs w:val="20"/>
          <w:highlight w:val="yellow"/>
          <w:lang w:val="en-US" w:eastAsia="zh-CN"/>
        </w:rPr>
        <w:t>KYZB202508009227</w:t>
      </w:r>
      <w:r>
        <w:rPr>
          <w:rFonts w:hint="eastAsia" w:ascii="宋体" w:hAnsi="宋体" w:eastAsia="宋体" w:cs="宋体"/>
          <w:b w:val="0"/>
          <w:bCs/>
          <w:color w:val="000000"/>
          <w:kern w:val="2"/>
          <w:sz w:val="20"/>
          <w:szCs w:val="20"/>
          <w:lang w:val="en-US" w:eastAsia="zh-CN"/>
        </w:rPr>
        <w:t>投标保证金”</w:t>
      </w:r>
    </w:p>
    <w:p w14:paraId="6641CF22">
      <w:pPr>
        <w:pageBreakBefore w:val="0"/>
        <w:widowControl/>
        <w:kinsoku/>
        <w:wordWrap/>
        <w:overflowPunct/>
        <w:topLinePunct w:val="0"/>
        <w:autoSpaceDE/>
        <w:autoSpaceDN/>
        <w:bidi w:val="0"/>
        <w:adjustRightInd w:val="0"/>
        <w:snapToGrid w:val="0"/>
        <w:spacing w:line="336" w:lineRule="auto"/>
        <w:ind w:firstLine="402" w:firstLineChars="200"/>
        <w:jc w:val="left"/>
        <w:textAlignment w:val="auto"/>
        <w:rPr>
          <w:rFonts w:hint="eastAsia" w:ascii="宋体" w:hAnsi="宋体" w:eastAsia="宋体" w:cs="宋体"/>
          <w:kern w:val="2"/>
          <w:sz w:val="20"/>
          <w:szCs w:val="20"/>
        </w:rPr>
      </w:pPr>
      <w:r>
        <w:rPr>
          <w:rFonts w:hint="eastAsia" w:ascii="宋体" w:hAnsi="宋体" w:eastAsia="宋体" w:cs="宋体"/>
          <w:b/>
          <w:kern w:val="2"/>
          <w:sz w:val="20"/>
          <w:szCs w:val="20"/>
        </w:rPr>
        <w:t>未中标</w:t>
      </w:r>
      <w:r>
        <w:rPr>
          <w:rFonts w:hint="eastAsia" w:ascii="宋体" w:hAnsi="宋体" w:eastAsia="宋体" w:cs="宋体"/>
          <w:b/>
          <w:kern w:val="2"/>
          <w:sz w:val="20"/>
          <w:szCs w:val="20"/>
          <w:lang w:val="en-US" w:eastAsia="zh-CN"/>
        </w:rPr>
        <w:t>企业</w:t>
      </w:r>
      <w:r>
        <w:rPr>
          <w:rFonts w:hint="eastAsia" w:ascii="宋体" w:hAnsi="宋体" w:eastAsia="宋体" w:cs="宋体"/>
          <w:b/>
          <w:kern w:val="2"/>
          <w:sz w:val="20"/>
          <w:szCs w:val="20"/>
        </w:rPr>
        <w:t>：</w:t>
      </w:r>
      <w:r>
        <w:rPr>
          <w:rFonts w:hint="eastAsia" w:ascii="宋体" w:hAnsi="宋体" w:eastAsia="宋体" w:cs="宋体"/>
          <w:b w:val="0"/>
          <w:bCs/>
          <w:kern w:val="2"/>
          <w:sz w:val="20"/>
          <w:szCs w:val="20"/>
          <w:lang w:val="en-US" w:eastAsia="zh-CN"/>
        </w:rPr>
        <w:t>评审</w:t>
      </w:r>
      <w:r>
        <w:rPr>
          <w:rFonts w:hint="eastAsia" w:ascii="宋体" w:hAnsi="宋体" w:eastAsia="宋体" w:cs="宋体"/>
          <w:b w:val="0"/>
          <w:bCs/>
          <w:kern w:val="2"/>
          <w:sz w:val="20"/>
          <w:szCs w:val="20"/>
        </w:rPr>
        <w:t>结</w:t>
      </w:r>
      <w:r>
        <w:rPr>
          <w:rFonts w:hint="eastAsia" w:ascii="宋体" w:hAnsi="宋体" w:eastAsia="宋体" w:cs="宋体"/>
          <w:kern w:val="2"/>
          <w:sz w:val="20"/>
          <w:szCs w:val="20"/>
        </w:rPr>
        <w:t>束后</w:t>
      </w:r>
      <w:r>
        <w:rPr>
          <w:rFonts w:hint="eastAsia" w:ascii="宋体" w:hAnsi="宋体" w:eastAsia="宋体" w:cs="宋体"/>
          <w:kern w:val="2"/>
          <w:sz w:val="20"/>
          <w:szCs w:val="20"/>
          <w:lang w:val="en-US" w:eastAsia="zh-CN"/>
        </w:rPr>
        <w:t>7</w:t>
      </w:r>
      <w:r>
        <w:rPr>
          <w:rFonts w:hint="eastAsia" w:ascii="宋体" w:hAnsi="宋体" w:eastAsia="宋体" w:cs="宋体"/>
          <w:kern w:val="2"/>
          <w:sz w:val="20"/>
          <w:szCs w:val="20"/>
        </w:rPr>
        <w:t>个</w:t>
      </w:r>
      <w:r>
        <w:rPr>
          <w:rFonts w:hint="eastAsia" w:ascii="宋体" w:hAnsi="宋体" w:eastAsia="宋体" w:cs="宋体"/>
          <w:kern w:val="2"/>
          <w:sz w:val="20"/>
          <w:szCs w:val="20"/>
          <w:lang w:val="en-US" w:eastAsia="zh-CN"/>
        </w:rPr>
        <w:t>工作日</w:t>
      </w:r>
      <w:r>
        <w:rPr>
          <w:rFonts w:hint="eastAsia" w:ascii="宋体" w:hAnsi="宋体" w:eastAsia="宋体" w:cs="宋体"/>
          <w:kern w:val="2"/>
          <w:sz w:val="20"/>
          <w:szCs w:val="20"/>
        </w:rPr>
        <w:t xml:space="preserve">内全额无息退回； </w:t>
      </w:r>
    </w:p>
    <w:p w14:paraId="090EE832">
      <w:pPr>
        <w:pageBreakBefore w:val="0"/>
        <w:widowControl/>
        <w:kinsoku/>
        <w:wordWrap/>
        <w:overflowPunct/>
        <w:topLinePunct w:val="0"/>
        <w:autoSpaceDE/>
        <w:autoSpaceDN/>
        <w:bidi w:val="0"/>
        <w:adjustRightInd w:val="0"/>
        <w:snapToGrid w:val="0"/>
        <w:spacing w:line="336" w:lineRule="auto"/>
        <w:ind w:firstLine="402" w:firstLineChars="200"/>
        <w:jc w:val="left"/>
        <w:textAlignment w:val="auto"/>
        <w:rPr>
          <w:rFonts w:hint="eastAsia" w:ascii="宋体" w:hAnsi="宋体" w:cs="宋体"/>
          <w:b/>
          <w:bCs w:val="0"/>
          <w:color w:val="000000"/>
          <w:kern w:val="2"/>
          <w:sz w:val="20"/>
          <w:szCs w:val="20"/>
          <w:lang w:val="en-US" w:eastAsia="zh-CN"/>
        </w:rPr>
      </w:pPr>
      <w:r>
        <w:rPr>
          <w:rFonts w:hint="eastAsia" w:ascii="宋体" w:hAnsi="宋体" w:eastAsia="宋体" w:cs="宋体"/>
          <w:b/>
          <w:kern w:val="2"/>
          <w:sz w:val="20"/>
          <w:szCs w:val="20"/>
        </w:rPr>
        <w:t>中标</w:t>
      </w:r>
      <w:r>
        <w:rPr>
          <w:rFonts w:hint="eastAsia" w:ascii="宋体" w:hAnsi="宋体" w:eastAsia="宋体" w:cs="宋体"/>
          <w:b/>
          <w:kern w:val="2"/>
          <w:sz w:val="20"/>
          <w:szCs w:val="20"/>
          <w:lang w:val="en-US" w:eastAsia="zh-CN"/>
        </w:rPr>
        <w:t>企业</w:t>
      </w:r>
      <w:r>
        <w:rPr>
          <w:rFonts w:hint="eastAsia" w:ascii="宋体" w:hAnsi="宋体" w:eastAsia="宋体" w:cs="宋体"/>
          <w:b/>
          <w:kern w:val="2"/>
          <w:sz w:val="20"/>
          <w:szCs w:val="20"/>
        </w:rPr>
        <w:t>：</w:t>
      </w:r>
      <w:r>
        <w:rPr>
          <w:rFonts w:hint="eastAsia" w:ascii="宋体" w:hAnsi="宋体" w:eastAsia="宋体" w:cs="宋体"/>
          <w:kern w:val="2"/>
          <w:sz w:val="20"/>
          <w:szCs w:val="20"/>
        </w:rPr>
        <w:t>招标结束</w:t>
      </w:r>
      <w:r>
        <w:rPr>
          <w:rFonts w:hint="eastAsia" w:ascii="宋体" w:hAnsi="宋体" w:eastAsia="宋体" w:cs="宋体"/>
          <w:kern w:val="2"/>
          <w:sz w:val="20"/>
          <w:szCs w:val="20"/>
          <w:lang w:val="en-US" w:eastAsia="zh-CN"/>
        </w:rPr>
        <w:t>合同签订后</w:t>
      </w:r>
      <w:r>
        <w:rPr>
          <w:rFonts w:hint="eastAsia" w:ascii="宋体" w:hAnsi="宋体" w:eastAsia="宋体" w:cs="宋体"/>
          <w:kern w:val="2"/>
          <w:sz w:val="20"/>
          <w:szCs w:val="20"/>
        </w:rPr>
        <w:t>，投标保证金转为合同履约保证金</w:t>
      </w:r>
      <w:r>
        <w:rPr>
          <w:rFonts w:hint="eastAsia" w:ascii="宋体" w:hAnsi="宋体" w:eastAsia="宋体" w:cs="宋体"/>
          <w:kern w:val="2"/>
          <w:sz w:val="20"/>
          <w:szCs w:val="20"/>
          <w:lang w:eastAsia="zh-CN"/>
        </w:rPr>
        <w:t>，</w:t>
      </w:r>
      <w:r>
        <w:rPr>
          <w:rFonts w:hint="eastAsia" w:ascii="宋体" w:hAnsi="宋体" w:eastAsia="宋体" w:cs="宋体"/>
          <w:kern w:val="2"/>
          <w:sz w:val="20"/>
          <w:szCs w:val="20"/>
          <w:lang w:val="en-US" w:eastAsia="zh-CN"/>
        </w:rPr>
        <w:t>履约保证金不足的，投标方需按合同要求</w:t>
      </w:r>
      <w:r>
        <w:rPr>
          <w:rFonts w:hint="eastAsia" w:ascii="宋体" w:hAnsi="宋体" w:eastAsia="宋体" w:cs="宋体"/>
          <w:kern w:val="2"/>
          <w:sz w:val="20"/>
          <w:szCs w:val="20"/>
          <w:lang w:eastAsia="zh-CN"/>
        </w:rPr>
        <w:t>的</w:t>
      </w:r>
      <w:r>
        <w:rPr>
          <w:rFonts w:hint="eastAsia" w:ascii="宋体" w:hAnsi="宋体" w:eastAsia="宋体" w:cs="宋体"/>
          <w:kern w:val="2"/>
          <w:sz w:val="20"/>
          <w:szCs w:val="20"/>
          <w:highlight w:val="yellow"/>
          <w:lang w:eastAsia="zh-CN"/>
        </w:rPr>
        <w:t>七（7）</w:t>
      </w:r>
      <w:r>
        <w:rPr>
          <w:rFonts w:hint="eastAsia" w:ascii="宋体" w:hAnsi="宋体" w:eastAsia="宋体" w:cs="宋体"/>
          <w:kern w:val="2"/>
          <w:sz w:val="20"/>
          <w:szCs w:val="20"/>
          <w:lang w:eastAsia="zh-CN"/>
        </w:rPr>
        <w:t>日内，立即向</w:t>
      </w:r>
      <w:r>
        <w:rPr>
          <w:rFonts w:hint="eastAsia" w:ascii="宋体" w:hAnsi="宋体" w:eastAsia="宋体" w:cs="宋体"/>
          <w:kern w:val="2"/>
          <w:sz w:val="20"/>
          <w:szCs w:val="20"/>
          <w:lang w:val="en-US" w:eastAsia="zh-CN"/>
        </w:rPr>
        <w:t>跨越</w:t>
      </w:r>
      <w:r>
        <w:rPr>
          <w:rFonts w:hint="eastAsia" w:ascii="宋体" w:hAnsi="宋体" w:eastAsia="宋体" w:cs="宋体"/>
          <w:kern w:val="2"/>
          <w:sz w:val="20"/>
          <w:szCs w:val="20"/>
          <w:lang w:eastAsia="zh-CN"/>
        </w:rPr>
        <w:t>补足相应</w:t>
      </w:r>
      <w:r>
        <w:rPr>
          <w:rFonts w:hint="eastAsia" w:ascii="宋体" w:hAnsi="宋体" w:eastAsia="宋体" w:cs="宋体"/>
          <w:kern w:val="2"/>
          <w:sz w:val="20"/>
          <w:szCs w:val="20"/>
          <w:lang w:val="en-US" w:eastAsia="zh-CN"/>
        </w:rPr>
        <w:t>履约保证金</w:t>
      </w:r>
      <w:r>
        <w:rPr>
          <w:rFonts w:hint="eastAsia" w:ascii="宋体" w:hAnsi="宋体" w:eastAsia="宋体" w:cs="宋体"/>
          <w:kern w:val="2"/>
          <w:sz w:val="20"/>
          <w:szCs w:val="20"/>
          <w:lang w:eastAsia="zh-CN"/>
        </w:rPr>
        <w:t>差额；</w:t>
      </w:r>
      <w:r>
        <w:rPr>
          <w:rFonts w:hint="eastAsia" w:ascii="宋体" w:hAnsi="宋体" w:cs="宋体"/>
          <w:b/>
          <w:bCs w:val="0"/>
          <w:color w:val="000000"/>
          <w:kern w:val="2"/>
          <w:sz w:val="20"/>
          <w:szCs w:val="20"/>
          <w:lang w:val="en-US" w:eastAsia="zh-CN"/>
        </w:rPr>
        <w:t xml:space="preserve"> </w:t>
      </w:r>
    </w:p>
    <w:p w14:paraId="3F91A78A">
      <w:pPr>
        <w:pageBreakBefore w:val="0"/>
        <w:widowControl/>
        <w:kinsoku/>
        <w:wordWrap/>
        <w:overflowPunct/>
        <w:topLinePunct w:val="0"/>
        <w:autoSpaceDE/>
        <w:autoSpaceDN/>
        <w:bidi w:val="0"/>
        <w:adjustRightInd w:val="0"/>
        <w:snapToGrid w:val="0"/>
        <w:spacing w:line="336" w:lineRule="auto"/>
        <w:ind w:firstLine="0" w:firstLineChars="0"/>
        <w:jc w:val="left"/>
        <w:textAlignment w:val="auto"/>
        <w:rPr>
          <w:rFonts w:hint="eastAsia" w:ascii="宋体" w:hAnsi="宋体" w:cs="宋体"/>
          <w:b/>
          <w:bCs w:val="0"/>
          <w:color w:val="000000"/>
          <w:kern w:val="2"/>
          <w:sz w:val="20"/>
          <w:szCs w:val="20"/>
          <w:lang w:val="en-US" w:eastAsia="zh-CN"/>
        </w:rPr>
      </w:pPr>
    </w:p>
    <w:p w14:paraId="46A36EF7">
      <w:pPr>
        <w:pageBreakBefore w:val="0"/>
        <w:widowControl/>
        <w:kinsoku/>
        <w:wordWrap/>
        <w:overflowPunct/>
        <w:topLinePunct w:val="0"/>
        <w:autoSpaceDE/>
        <w:autoSpaceDN/>
        <w:bidi w:val="0"/>
        <w:adjustRightInd w:val="0"/>
        <w:snapToGrid w:val="0"/>
        <w:spacing w:line="336" w:lineRule="auto"/>
        <w:jc w:val="left"/>
        <w:textAlignment w:val="auto"/>
        <w:rPr>
          <w:rFonts w:hint="eastAsia" w:ascii="宋体" w:hAnsi="宋体" w:eastAsia="宋体" w:cs="宋体"/>
          <w:b/>
          <w:kern w:val="2"/>
          <w:sz w:val="20"/>
          <w:szCs w:val="20"/>
        </w:rPr>
      </w:pPr>
      <w:r>
        <w:rPr>
          <w:rFonts w:hint="eastAsia" w:ascii="宋体" w:hAnsi="宋体" w:cs="宋体"/>
          <w:b/>
          <w:bCs w:val="0"/>
          <w:color w:val="000000"/>
          <w:kern w:val="2"/>
          <w:sz w:val="20"/>
          <w:szCs w:val="20"/>
          <w:lang w:val="en-US" w:eastAsia="zh-CN"/>
        </w:rPr>
        <w:t>六、</w:t>
      </w:r>
      <w:r>
        <w:rPr>
          <w:rFonts w:hint="eastAsia" w:ascii="宋体" w:hAnsi="宋体" w:eastAsia="宋体" w:cs="宋体"/>
          <w:b/>
          <w:color w:val="000000"/>
          <w:kern w:val="2"/>
          <w:sz w:val="20"/>
          <w:szCs w:val="20"/>
        </w:rPr>
        <w:t>违法/舞弊处理</w:t>
      </w:r>
      <w:r>
        <w:rPr>
          <w:rFonts w:hint="eastAsia" w:ascii="宋体" w:hAnsi="宋体" w:eastAsia="宋体" w:cs="宋体"/>
          <w:b/>
          <w:kern w:val="2"/>
          <w:sz w:val="20"/>
          <w:szCs w:val="20"/>
        </w:rPr>
        <w:t>：</w:t>
      </w:r>
    </w:p>
    <w:p w14:paraId="4EC3C03F">
      <w:pPr>
        <w:pStyle w:val="23"/>
        <w:pageBreakBefore w:val="0"/>
        <w:widowControl/>
        <w:numPr>
          <w:ilvl w:val="0"/>
          <w:numId w:val="0"/>
        </w:numPr>
        <w:kinsoku/>
        <w:wordWrap/>
        <w:overflowPunct/>
        <w:topLinePunct w:val="0"/>
        <w:autoSpaceDE/>
        <w:autoSpaceDN/>
        <w:bidi w:val="0"/>
        <w:adjustRightInd w:val="0"/>
        <w:snapToGrid w:val="0"/>
        <w:spacing w:line="336" w:lineRule="auto"/>
        <w:ind w:firstLine="402" w:firstLineChars="200"/>
        <w:jc w:val="left"/>
        <w:textAlignment w:val="auto"/>
        <w:rPr>
          <w:rFonts w:hint="eastAsia" w:ascii="宋体" w:hAnsi="宋体" w:eastAsia="宋体" w:cs="宋体"/>
          <w:b/>
          <w:kern w:val="2"/>
          <w:sz w:val="20"/>
          <w:szCs w:val="20"/>
        </w:rPr>
      </w:pPr>
      <w:r>
        <w:rPr>
          <w:rFonts w:hint="eastAsia" w:ascii="宋体" w:hAnsi="宋体" w:cs="宋体"/>
          <w:b/>
          <w:kern w:val="2"/>
          <w:sz w:val="20"/>
          <w:szCs w:val="20"/>
          <w:lang w:val="en-US" w:eastAsia="zh-CN"/>
        </w:rPr>
        <w:t>6.1</w:t>
      </w:r>
      <w:r>
        <w:rPr>
          <w:rFonts w:hint="eastAsia" w:ascii="宋体" w:hAnsi="宋体" w:eastAsia="宋体" w:cs="宋体"/>
          <w:b/>
          <w:kern w:val="2"/>
          <w:sz w:val="20"/>
          <w:szCs w:val="20"/>
        </w:rPr>
        <w:t>投标</w:t>
      </w:r>
      <w:r>
        <w:rPr>
          <w:rFonts w:hint="eastAsia" w:ascii="宋体" w:hAnsi="宋体" w:cs="宋体"/>
          <w:b/>
          <w:kern w:val="2"/>
          <w:sz w:val="20"/>
          <w:szCs w:val="20"/>
          <w:lang w:val="en-US" w:eastAsia="zh-CN"/>
        </w:rPr>
        <w:t>方</w:t>
      </w:r>
      <w:r>
        <w:rPr>
          <w:rFonts w:hint="eastAsia" w:ascii="宋体" w:hAnsi="宋体" w:eastAsia="宋体" w:cs="宋体"/>
          <w:b/>
          <w:kern w:val="2"/>
          <w:sz w:val="20"/>
          <w:szCs w:val="20"/>
        </w:rPr>
        <w:t>有下列情形之一的，</w:t>
      </w:r>
      <w:r>
        <w:rPr>
          <w:rFonts w:hint="eastAsia" w:ascii="宋体" w:hAnsi="宋体" w:cs="宋体"/>
          <w:b/>
          <w:kern w:val="2"/>
          <w:sz w:val="20"/>
          <w:szCs w:val="20"/>
          <w:lang w:val="en-US" w:eastAsia="zh-CN"/>
        </w:rPr>
        <w:t>跨越速运</w:t>
      </w:r>
      <w:r>
        <w:rPr>
          <w:rFonts w:hint="eastAsia" w:ascii="宋体" w:hAnsi="宋体" w:eastAsia="宋体" w:cs="宋体"/>
          <w:b/>
          <w:kern w:val="2"/>
          <w:sz w:val="20"/>
          <w:szCs w:val="20"/>
        </w:rPr>
        <w:t>有权</w:t>
      </w:r>
      <w:r>
        <w:rPr>
          <w:rFonts w:hint="eastAsia" w:ascii="宋体" w:hAnsi="宋体" w:cs="宋体"/>
          <w:b/>
          <w:kern w:val="2"/>
          <w:sz w:val="20"/>
          <w:szCs w:val="20"/>
          <w:lang w:val="en-US" w:eastAsia="zh-CN"/>
        </w:rPr>
        <w:t>直接</w:t>
      </w:r>
      <w:r>
        <w:rPr>
          <w:rFonts w:hint="eastAsia" w:ascii="宋体" w:hAnsi="宋体" w:eastAsia="宋体" w:cs="宋体"/>
          <w:b/>
          <w:kern w:val="2"/>
          <w:sz w:val="20"/>
          <w:szCs w:val="20"/>
        </w:rPr>
        <w:t>扣除本次投标保证金，切停已有业务，限制投标，行为极其恶劣的，保留永久拉黑权利：</w:t>
      </w:r>
    </w:p>
    <w:p w14:paraId="5745BFFC">
      <w:pPr>
        <w:pStyle w:val="23"/>
        <w:pageBreakBefore w:val="0"/>
        <w:widowControl/>
        <w:numPr>
          <w:ilvl w:val="0"/>
          <w:numId w:val="7"/>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投标方参与投标报价后，非因招标方原因弃标；</w:t>
      </w:r>
    </w:p>
    <w:p w14:paraId="4F4C9A1E">
      <w:pPr>
        <w:pStyle w:val="23"/>
        <w:pageBreakBefore w:val="0"/>
        <w:widowControl/>
        <w:numPr>
          <w:ilvl w:val="0"/>
          <w:numId w:val="7"/>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中标人接到中标（入围）电话后弃标的；</w:t>
      </w:r>
    </w:p>
    <w:p w14:paraId="08E1FD42">
      <w:pPr>
        <w:pStyle w:val="23"/>
        <w:pageBreakBefore w:val="0"/>
        <w:widowControl/>
        <w:numPr>
          <w:ilvl w:val="0"/>
          <w:numId w:val="7"/>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未按照招标要求报价扰乱招标排名等恶意报价行为的；</w:t>
      </w:r>
    </w:p>
    <w:p w14:paraId="2D22A90A">
      <w:pPr>
        <w:pStyle w:val="23"/>
        <w:pageBreakBefore w:val="0"/>
        <w:widowControl/>
        <w:numPr>
          <w:ilvl w:val="0"/>
          <w:numId w:val="7"/>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提供虚假材料等违反诚信原则的行为</w:t>
      </w:r>
      <w:r>
        <w:rPr>
          <w:rFonts w:hint="eastAsia" w:ascii="宋体" w:hAnsi="宋体" w:cs="宋体"/>
          <w:color w:val="auto"/>
          <w:sz w:val="20"/>
          <w:szCs w:val="20"/>
          <w:highlight w:val="none"/>
        </w:rPr>
        <w:t>，包括但不限于资质证书、业务能力证明等方面提供不实信息，破坏了招投标的诚信环境</w:t>
      </w:r>
      <w:r>
        <w:rPr>
          <w:rFonts w:hint="eastAsia" w:ascii="宋体" w:hAnsi="宋体" w:cs="宋体"/>
          <w:color w:val="auto"/>
          <w:sz w:val="20"/>
          <w:szCs w:val="20"/>
          <w:highlight w:val="none"/>
          <w:lang w:eastAsia="zh-CN"/>
        </w:rPr>
        <w:t>；</w:t>
      </w:r>
    </w:p>
    <w:p w14:paraId="0F3BB242">
      <w:pPr>
        <w:pStyle w:val="23"/>
        <w:pageBreakBefore w:val="0"/>
        <w:widowControl/>
        <w:numPr>
          <w:ilvl w:val="0"/>
          <w:numId w:val="7"/>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eastAsia="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故意隐瞒与招标有关的重要事实，包括但不限于产品质量、生产能力、资质证书、投标前与投标后打样不合格的；</w:t>
      </w:r>
      <w:r>
        <w:rPr>
          <w:rFonts w:hint="eastAsia" w:ascii="宋体" w:hAnsi="宋体" w:cs="宋体"/>
          <w:color w:val="auto"/>
          <w:sz w:val="20"/>
          <w:szCs w:val="20"/>
          <w:highlight w:val="none"/>
        </w:rPr>
        <w:t>影响招标方对投标方真实情况的判断</w:t>
      </w:r>
      <w:r>
        <w:rPr>
          <w:rFonts w:hint="eastAsia" w:ascii="宋体" w:hAnsi="宋体" w:cs="宋体"/>
          <w:color w:val="auto"/>
          <w:sz w:val="20"/>
          <w:szCs w:val="20"/>
          <w:highlight w:val="none"/>
          <w:lang w:val="en-US" w:eastAsia="zh-CN"/>
        </w:rPr>
        <w:t>的</w:t>
      </w:r>
      <w:r>
        <w:rPr>
          <w:rFonts w:hint="eastAsia" w:ascii="宋体" w:hAnsi="宋体" w:cs="宋体"/>
          <w:color w:val="auto"/>
          <w:sz w:val="20"/>
          <w:szCs w:val="20"/>
          <w:highlight w:val="none"/>
          <w:lang w:eastAsia="zh-CN"/>
        </w:rPr>
        <w:t>；</w:t>
      </w:r>
    </w:p>
    <w:p w14:paraId="61771B68">
      <w:pPr>
        <w:pStyle w:val="23"/>
        <w:pageBreakBefore w:val="0"/>
        <w:widowControl/>
        <w:numPr>
          <w:ilvl w:val="0"/>
          <w:numId w:val="7"/>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投标期间内有围标、串标、哄抬标价和恶意竞标或其他违规违法行为；</w:t>
      </w:r>
    </w:p>
    <w:p w14:paraId="3F233EEC">
      <w:pPr>
        <w:pStyle w:val="23"/>
        <w:pageBreakBefore w:val="0"/>
        <w:widowControl/>
        <w:numPr>
          <w:ilvl w:val="0"/>
          <w:numId w:val="7"/>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中标后，未在规定期限内与跨越签订合同（及或订立合同后未履约就解除的），或在签订合同时向跨越提出附加条件，或不按照招标文件要求交纳履约保证金；</w:t>
      </w:r>
    </w:p>
    <w:p w14:paraId="4376318B">
      <w:pPr>
        <w:pStyle w:val="23"/>
        <w:pageBreakBefore w:val="0"/>
        <w:widowControl/>
        <w:numPr>
          <w:ilvl w:val="0"/>
          <w:numId w:val="7"/>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 xml:space="preserve">行贿、严重泄露跨越保密信息等违背跨越反腐及保密原则的行为； </w:t>
      </w:r>
    </w:p>
    <w:p w14:paraId="0E3B0941">
      <w:pPr>
        <w:pStyle w:val="23"/>
        <w:pageBreakBefore w:val="0"/>
        <w:widowControl/>
        <w:numPr>
          <w:ilvl w:val="0"/>
          <w:numId w:val="7"/>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我方承诺所有参与投标项目的报价均以供应商平台中报价为准，我方通过微信、邮件、短信、书面通知等修改报价的行为未得到贵司认可均视为无效；</w:t>
      </w:r>
    </w:p>
    <w:p w14:paraId="613A8097">
      <w:pPr>
        <w:pStyle w:val="23"/>
        <w:pageBreakBefore w:val="0"/>
        <w:widowControl/>
        <w:numPr>
          <w:ilvl w:val="0"/>
          <w:numId w:val="7"/>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招标文件列明的其他应扣除投标保证金的行为。</w:t>
      </w:r>
    </w:p>
    <w:p w14:paraId="2CFC4811">
      <w:pPr>
        <w:pStyle w:val="23"/>
        <w:pageBreakBefore w:val="0"/>
        <w:widowControl/>
        <w:numPr>
          <w:ilvl w:val="-1"/>
          <w:numId w:val="0"/>
        </w:numPr>
        <w:kinsoku/>
        <w:wordWrap/>
        <w:overflowPunct/>
        <w:topLinePunct w:val="0"/>
        <w:autoSpaceDE/>
        <w:autoSpaceDN/>
        <w:bidi w:val="0"/>
        <w:adjustRightInd w:val="0"/>
        <w:snapToGrid w:val="0"/>
        <w:spacing w:line="336" w:lineRule="auto"/>
        <w:ind w:left="480" w:firstLine="0" w:firstLineChars="0"/>
        <w:jc w:val="left"/>
        <w:textAlignment w:val="auto"/>
        <w:rPr>
          <w:rFonts w:hint="eastAsia" w:ascii="宋体" w:hAnsi="宋体" w:cs="宋体"/>
          <w:b/>
          <w:bCs/>
          <w:color w:val="auto"/>
          <w:kern w:val="2"/>
          <w:sz w:val="20"/>
          <w:szCs w:val="20"/>
          <w:highlight w:val="none"/>
          <w:lang w:val="en-US" w:eastAsia="zh-CN"/>
        </w:rPr>
      </w:pPr>
      <w:r>
        <w:rPr>
          <w:rFonts w:hint="eastAsia" w:ascii="宋体" w:hAnsi="宋体" w:cs="宋体"/>
          <w:b/>
          <w:bCs/>
          <w:color w:val="auto"/>
          <w:kern w:val="2"/>
          <w:sz w:val="20"/>
          <w:szCs w:val="20"/>
          <w:highlight w:val="none"/>
          <w:lang w:val="en-US" w:eastAsia="zh-CN"/>
        </w:rPr>
        <w:t>6.2投标人须严格遵守《中华人民共和国招标投标法》及其实施条例，严禁串通投标。出现以下情形，将视为串通投标或严重危害招标合规性：</w:t>
      </w:r>
    </w:p>
    <w:p w14:paraId="4DF90857">
      <w:pPr>
        <w:pStyle w:val="23"/>
        <w:pageBreakBefore w:val="0"/>
        <w:widowControl/>
        <w:numPr>
          <w:ilvl w:val="0"/>
          <w:numId w:val="8"/>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与招标人工作人员串通：向其打探其他投标人信息、私下商议投标条件或价格、赠送礼品、有经济往来。</w:t>
      </w:r>
    </w:p>
    <w:p w14:paraId="631D41AE">
      <w:pPr>
        <w:pStyle w:val="23"/>
        <w:pageBreakBefore w:val="0"/>
        <w:widowControl/>
        <w:numPr>
          <w:ilvl w:val="0"/>
          <w:numId w:val="8"/>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投标人之间串通：互相协商、指定中标人、排挤其他参与人。</w:t>
      </w:r>
    </w:p>
    <w:p w14:paraId="073DF627">
      <w:pPr>
        <w:pStyle w:val="23"/>
        <w:pageBreakBefore w:val="0"/>
        <w:widowControl/>
        <w:numPr>
          <w:ilvl w:val="0"/>
          <w:numId w:val="8"/>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投标文件异常：由同一单位或个人编制、委托同一人办理投标、载明的项目管理成员相同、内容异常一致或报价呈规律差异、相互混装、实质性内容多处细节错误或格式特征一致。</w:t>
      </w:r>
    </w:p>
    <w:p w14:paraId="79D3F728">
      <w:pPr>
        <w:pStyle w:val="23"/>
        <w:pageBreakBefore w:val="0"/>
        <w:widowControl/>
        <w:numPr>
          <w:ilvl w:val="0"/>
          <w:numId w:val="8"/>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投标操作关联：由同一电子设备编制等、由同一人送达或分发、参加人员为其他投标人在职人员。</w:t>
      </w:r>
    </w:p>
    <w:p w14:paraId="1C09B11B">
      <w:pPr>
        <w:pStyle w:val="23"/>
        <w:pageBreakBefore w:val="0"/>
        <w:widowControl/>
        <w:numPr>
          <w:ilvl w:val="0"/>
          <w:numId w:val="8"/>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投标保证金问题：资金来自同一单位或个人账户。</w:t>
      </w:r>
    </w:p>
    <w:p w14:paraId="0216C79B">
      <w:pPr>
        <w:pStyle w:val="23"/>
        <w:pageBreakBefore w:val="0"/>
        <w:widowControl/>
        <w:numPr>
          <w:ilvl w:val="0"/>
          <w:numId w:val="8"/>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cs="宋体"/>
          <w:b w:val="0"/>
          <w:bCs w:val="0"/>
          <w:color w:val="auto"/>
          <w:kern w:val="2"/>
          <w:sz w:val="20"/>
          <w:szCs w:val="20"/>
          <w:highlight w:val="none"/>
          <w:lang w:val="en-US" w:eastAsia="zh-CN"/>
        </w:rPr>
      </w:pPr>
      <w:r>
        <w:rPr>
          <w:rFonts w:hint="eastAsia" w:ascii="宋体" w:hAnsi="宋体" w:cs="宋体"/>
          <w:b w:val="0"/>
          <w:bCs w:val="0"/>
          <w:color w:val="auto"/>
          <w:kern w:val="2"/>
          <w:sz w:val="20"/>
          <w:szCs w:val="20"/>
          <w:highlight w:val="none"/>
          <w:lang w:val="en-US" w:eastAsia="zh-CN"/>
        </w:rPr>
        <w:t>其他串通迹象：多家报价相同无合理解释，以及招标人有理由怀疑且投标人无法合理解释。</w:t>
      </w:r>
    </w:p>
    <w:p w14:paraId="264D1BDF">
      <w:pPr>
        <w:pStyle w:val="23"/>
        <w:pageBreakBefore w:val="0"/>
        <w:widowControl/>
        <w:numPr>
          <w:ilvl w:val="0"/>
          <w:numId w:val="8"/>
        </w:numPr>
        <w:kinsoku/>
        <w:wordWrap/>
        <w:overflowPunct/>
        <w:topLinePunct w:val="0"/>
        <w:autoSpaceDE/>
        <w:autoSpaceDN/>
        <w:bidi w:val="0"/>
        <w:adjustRightInd w:val="0"/>
        <w:snapToGrid w:val="0"/>
        <w:spacing w:line="336" w:lineRule="auto"/>
        <w:ind w:left="905" w:hanging="425" w:firstLineChars="0"/>
        <w:jc w:val="left"/>
        <w:textAlignment w:val="auto"/>
        <w:rPr>
          <w:rFonts w:hint="eastAsia" w:ascii="宋体" w:hAnsi="宋体" w:eastAsia="宋体" w:cs="宋体"/>
          <w:b/>
          <w:bCs/>
          <w:color w:val="auto"/>
          <w:kern w:val="2"/>
          <w:sz w:val="20"/>
          <w:szCs w:val="20"/>
          <w:highlight w:val="none"/>
        </w:rPr>
      </w:pPr>
      <w:r>
        <w:rPr>
          <w:rFonts w:hint="eastAsia" w:ascii="宋体" w:hAnsi="宋体" w:cs="宋体"/>
          <w:b w:val="0"/>
          <w:bCs w:val="0"/>
          <w:color w:val="auto"/>
          <w:kern w:val="2"/>
          <w:sz w:val="20"/>
          <w:szCs w:val="20"/>
          <w:highlight w:val="none"/>
          <w:lang w:val="en-US" w:eastAsia="zh-CN"/>
        </w:rPr>
        <w:t>若发生上述情况，招标人将没收投标保证金，按中标金额的 10%追究违约责任，并保留行业通报权利。</w:t>
      </w:r>
    </w:p>
    <w:p w14:paraId="5A8EF797">
      <w:pPr>
        <w:pStyle w:val="23"/>
        <w:pageBreakBefore w:val="0"/>
        <w:widowControl/>
        <w:numPr>
          <w:ilvl w:val="0"/>
          <w:numId w:val="8"/>
        </w:numPr>
        <w:kinsoku/>
        <w:wordWrap/>
        <w:overflowPunct/>
        <w:topLinePunct w:val="0"/>
        <w:autoSpaceDE/>
        <w:autoSpaceDN/>
        <w:bidi w:val="0"/>
        <w:adjustRightInd w:val="0"/>
        <w:snapToGrid w:val="0"/>
        <w:spacing w:line="336" w:lineRule="auto"/>
        <w:ind w:left="905" w:leftChars="0" w:hanging="425" w:firstLineChars="0"/>
        <w:jc w:val="left"/>
        <w:textAlignment w:val="auto"/>
        <w:rPr>
          <w:rFonts w:hint="eastAsia" w:ascii="宋体" w:hAnsi="宋体" w:eastAsia="宋体" w:cs="宋体"/>
          <w:b w:val="0"/>
          <w:color w:val="auto"/>
          <w:kern w:val="2"/>
          <w:sz w:val="20"/>
          <w:szCs w:val="20"/>
          <w:highlight w:val="yellow"/>
        </w:rPr>
      </w:pPr>
      <w:r>
        <w:rPr>
          <w:rFonts w:hint="eastAsia" w:ascii="宋体" w:hAnsi="宋体" w:eastAsia="宋体" w:cs="宋体"/>
          <w:b w:val="0"/>
          <w:color w:val="auto"/>
          <w:kern w:val="2"/>
          <w:sz w:val="20"/>
          <w:szCs w:val="20"/>
          <w:highlight w:val="none"/>
        </w:rPr>
        <w:t>开标</w:t>
      </w:r>
      <w:r>
        <w:rPr>
          <w:rFonts w:hint="eastAsia" w:ascii="宋体" w:hAnsi="宋体" w:cs="宋体"/>
          <w:b w:val="0"/>
          <w:color w:val="auto"/>
          <w:kern w:val="2"/>
          <w:sz w:val="20"/>
          <w:szCs w:val="20"/>
          <w:highlight w:val="none"/>
          <w:lang w:val="en-US" w:eastAsia="zh-CN"/>
        </w:rPr>
        <w:t>截止时间</w:t>
      </w:r>
      <w:r>
        <w:rPr>
          <w:rFonts w:hint="eastAsia" w:ascii="宋体" w:hAnsi="宋体" w:eastAsia="宋体" w:cs="宋体"/>
          <w:b w:val="0"/>
          <w:color w:val="auto"/>
          <w:kern w:val="2"/>
          <w:sz w:val="20"/>
          <w:szCs w:val="20"/>
          <w:highlight w:val="none"/>
        </w:rPr>
        <w:t>：</w:t>
      </w:r>
      <w:r>
        <w:rPr>
          <w:rFonts w:hint="eastAsia" w:ascii="宋体" w:hAnsi="宋体" w:eastAsia="宋体" w:cs="宋体"/>
          <w:b w:val="0"/>
          <w:color w:val="auto"/>
          <w:kern w:val="2"/>
          <w:sz w:val="20"/>
          <w:szCs w:val="20"/>
          <w:highlight w:val="yellow"/>
          <w:lang w:val="en-US" w:eastAsia="zh-CN"/>
        </w:rPr>
        <w:t>202</w:t>
      </w:r>
      <w:r>
        <w:rPr>
          <w:rFonts w:hint="eastAsia" w:ascii="宋体" w:hAnsi="宋体" w:cs="宋体"/>
          <w:b w:val="0"/>
          <w:color w:val="auto"/>
          <w:kern w:val="2"/>
          <w:sz w:val="20"/>
          <w:szCs w:val="20"/>
          <w:highlight w:val="yellow"/>
          <w:lang w:val="en-US" w:eastAsia="zh-CN"/>
        </w:rPr>
        <w:t>5</w:t>
      </w:r>
      <w:r>
        <w:rPr>
          <w:rFonts w:hint="eastAsia" w:ascii="宋体" w:hAnsi="宋体" w:eastAsia="宋体" w:cs="宋体"/>
          <w:b w:val="0"/>
          <w:color w:val="auto"/>
          <w:kern w:val="2"/>
          <w:sz w:val="20"/>
          <w:szCs w:val="20"/>
          <w:highlight w:val="yellow"/>
          <w:lang w:val="en-US" w:eastAsia="zh-CN"/>
        </w:rPr>
        <w:t>年</w:t>
      </w:r>
      <w:r>
        <w:rPr>
          <w:rFonts w:hint="eastAsia" w:ascii="宋体" w:hAnsi="宋体" w:cs="宋体"/>
          <w:b w:val="0"/>
          <w:color w:val="auto"/>
          <w:kern w:val="2"/>
          <w:sz w:val="20"/>
          <w:szCs w:val="20"/>
          <w:highlight w:val="yellow"/>
          <w:lang w:val="en-US" w:eastAsia="zh-CN"/>
        </w:rPr>
        <w:t>12</w:t>
      </w:r>
      <w:r>
        <w:rPr>
          <w:rFonts w:hint="eastAsia" w:ascii="宋体" w:hAnsi="宋体" w:eastAsia="宋体" w:cs="宋体"/>
          <w:b w:val="0"/>
          <w:color w:val="auto"/>
          <w:kern w:val="2"/>
          <w:sz w:val="20"/>
          <w:szCs w:val="20"/>
          <w:highlight w:val="yellow"/>
          <w:lang w:val="en-US" w:eastAsia="zh-CN"/>
        </w:rPr>
        <w:t>月</w:t>
      </w:r>
      <w:r>
        <w:rPr>
          <w:rFonts w:hint="eastAsia" w:ascii="宋体" w:hAnsi="宋体" w:cs="宋体"/>
          <w:b w:val="0"/>
          <w:color w:val="auto"/>
          <w:kern w:val="2"/>
          <w:sz w:val="20"/>
          <w:szCs w:val="20"/>
          <w:highlight w:val="yellow"/>
          <w:lang w:val="en-US" w:eastAsia="zh-CN"/>
        </w:rPr>
        <w:t>17</w:t>
      </w:r>
      <w:r>
        <w:rPr>
          <w:rFonts w:hint="eastAsia" w:ascii="宋体" w:hAnsi="宋体" w:eastAsia="宋体" w:cs="宋体"/>
          <w:b w:val="0"/>
          <w:color w:val="auto"/>
          <w:kern w:val="2"/>
          <w:sz w:val="20"/>
          <w:szCs w:val="20"/>
          <w:highlight w:val="yellow"/>
          <w:lang w:val="en-US" w:eastAsia="zh-CN"/>
        </w:rPr>
        <w:t>日</w:t>
      </w:r>
    </w:p>
    <w:p w14:paraId="79E8A035">
      <w:pPr>
        <w:pStyle w:val="23"/>
        <w:pageBreakBefore w:val="0"/>
        <w:widowControl/>
        <w:numPr>
          <w:ilvl w:val="0"/>
          <w:numId w:val="8"/>
        </w:numPr>
        <w:kinsoku/>
        <w:wordWrap/>
        <w:overflowPunct/>
        <w:topLinePunct w:val="0"/>
        <w:autoSpaceDE/>
        <w:autoSpaceDN/>
        <w:bidi w:val="0"/>
        <w:adjustRightInd w:val="0"/>
        <w:snapToGrid w:val="0"/>
        <w:spacing w:line="336" w:lineRule="auto"/>
        <w:ind w:left="905" w:leftChars="0" w:hanging="425" w:firstLineChars="0"/>
        <w:jc w:val="left"/>
        <w:textAlignment w:val="auto"/>
        <w:rPr>
          <w:rFonts w:hint="eastAsia" w:ascii="宋体" w:hAnsi="宋体" w:eastAsia="宋体" w:cs="宋体"/>
          <w:color w:val="auto"/>
          <w:kern w:val="2"/>
          <w:sz w:val="20"/>
          <w:szCs w:val="20"/>
          <w:highlight w:val="none"/>
        </w:rPr>
      </w:pPr>
      <w:r>
        <w:rPr>
          <w:rFonts w:hint="eastAsia" w:ascii="宋体" w:hAnsi="宋体" w:cs="宋体"/>
          <w:b w:val="0"/>
          <w:color w:val="auto"/>
          <w:kern w:val="2"/>
          <w:sz w:val="20"/>
          <w:szCs w:val="20"/>
          <w:highlight w:val="none"/>
          <w:lang w:val="en-US" w:eastAsia="zh-CN"/>
        </w:rPr>
        <w:t>投标方</w:t>
      </w:r>
      <w:r>
        <w:rPr>
          <w:rFonts w:hint="eastAsia" w:ascii="宋体" w:hAnsi="宋体" w:eastAsia="宋体" w:cs="宋体"/>
          <w:b w:val="0"/>
          <w:color w:val="auto"/>
          <w:kern w:val="2"/>
          <w:sz w:val="20"/>
          <w:szCs w:val="20"/>
          <w:highlight w:val="none"/>
        </w:rPr>
        <w:t>入围：</w:t>
      </w:r>
      <w:r>
        <w:rPr>
          <w:rFonts w:hint="eastAsia" w:ascii="宋体" w:hAnsi="宋体" w:eastAsia="宋体" w:cs="宋体"/>
          <w:color w:val="auto"/>
          <w:kern w:val="2"/>
          <w:sz w:val="20"/>
          <w:szCs w:val="20"/>
          <w:highlight w:val="none"/>
        </w:rPr>
        <w:t xml:space="preserve">开标前我司会对投标承运商进行考察，未通过考察的承运商将无法进入后续环节； </w:t>
      </w:r>
    </w:p>
    <w:p w14:paraId="3588CC97">
      <w:pPr>
        <w:pStyle w:val="23"/>
        <w:pageBreakBefore w:val="0"/>
        <w:widowControl/>
        <w:numPr>
          <w:ilvl w:val="0"/>
          <w:numId w:val="8"/>
        </w:numPr>
        <w:kinsoku/>
        <w:wordWrap/>
        <w:overflowPunct/>
        <w:topLinePunct w:val="0"/>
        <w:autoSpaceDE/>
        <w:autoSpaceDN/>
        <w:bidi w:val="0"/>
        <w:adjustRightInd w:val="0"/>
        <w:snapToGrid w:val="0"/>
        <w:spacing w:line="336" w:lineRule="auto"/>
        <w:ind w:left="905" w:leftChars="0" w:hanging="425" w:firstLineChars="0"/>
        <w:jc w:val="left"/>
        <w:textAlignment w:val="auto"/>
        <w:rPr>
          <w:rFonts w:hint="eastAsia" w:ascii="宋体" w:hAnsi="宋体" w:eastAsia="宋体" w:cs="宋体"/>
          <w:color w:val="auto"/>
          <w:kern w:val="2"/>
          <w:sz w:val="20"/>
          <w:szCs w:val="20"/>
          <w:highlight w:val="none"/>
        </w:rPr>
      </w:pPr>
      <w:r>
        <w:rPr>
          <w:rFonts w:hint="eastAsia" w:ascii="宋体" w:hAnsi="宋体" w:eastAsia="宋体" w:cs="宋体"/>
          <w:b w:val="0"/>
          <w:color w:val="auto"/>
          <w:kern w:val="2"/>
          <w:sz w:val="20"/>
          <w:szCs w:val="20"/>
          <w:highlight w:val="none"/>
        </w:rPr>
        <w:t>评标形式：</w:t>
      </w:r>
      <w:r>
        <w:rPr>
          <w:rFonts w:hint="eastAsia" w:ascii="宋体" w:hAnsi="宋体" w:eastAsia="宋体" w:cs="宋体"/>
          <w:color w:val="auto"/>
          <w:kern w:val="2"/>
          <w:sz w:val="20"/>
          <w:szCs w:val="20"/>
          <w:highlight w:val="none"/>
        </w:rPr>
        <w:t>线上评标为</w:t>
      </w:r>
      <w:r>
        <w:rPr>
          <w:rFonts w:hint="eastAsia" w:ascii="宋体" w:hAnsi="宋体" w:cs="宋体"/>
          <w:color w:val="auto"/>
          <w:kern w:val="2"/>
          <w:sz w:val="20"/>
          <w:szCs w:val="20"/>
          <w:highlight w:val="none"/>
          <w:lang w:val="en-US" w:eastAsia="zh-CN"/>
        </w:rPr>
        <w:t>准</w:t>
      </w:r>
      <w:r>
        <w:rPr>
          <w:rFonts w:hint="eastAsia" w:ascii="宋体" w:hAnsi="宋体" w:cs="宋体"/>
          <w:color w:val="auto"/>
          <w:kern w:val="2"/>
          <w:sz w:val="20"/>
          <w:szCs w:val="20"/>
          <w:highlight w:val="none"/>
          <w:lang w:eastAsia="zh-CN"/>
        </w:rPr>
        <w:t>，</w:t>
      </w:r>
      <w:r>
        <w:rPr>
          <w:rFonts w:hint="eastAsia" w:ascii="宋体" w:hAnsi="宋体" w:cs="宋体"/>
          <w:color w:val="auto"/>
          <w:kern w:val="2"/>
          <w:sz w:val="20"/>
          <w:szCs w:val="20"/>
          <w:highlight w:val="none"/>
          <w:lang w:val="en-US" w:eastAsia="zh-CN"/>
        </w:rPr>
        <w:t>竞价环节第一名、第二名投标方</w:t>
      </w:r>
      <w:r>
        <w:rPr>
          <w:rFonts w:hint="eastAsia" w:ascii="宋体" w:hAnsi="宋体" w:eastAsia="宋体" w:cs="宋体"/>
          <w:color w:val="auto"/>
          <w:kern w:val="2"/>
          <w:sz w:val="20"/>
          <w:szCs w:val="20"/>
          <w:highlight w:val="none"/>
        </w:rPr>
        <w:t>进入后续的议价环节，请谨慎报价；</w:t>
      </w:r>
    </w:p>
    <w:p w14:paraId="3B2C5276">
      <w:pPr>
        <w:pStyle w:val="23"/>
        <w:pageBreakBefore w:val="0"/>
        <w:widowControl/>
        <w:numPr>
          <w:ilvl w:val="0"/>
          <w:numId w:val="8"/>
        </w:numPr>
        <w:kinsoku/>
        <w:wordWrap/>
        <w:overflowPunct/>
        <w:topLinePunct w:val="0"/>
        <w:autoSpaceDE/>
        <w:autoSpaceDN/>
        <w:bidi w:val="0"/>
        <w:adjustRightInd w:val="0"/>
        <w:snapToGrid w:val="0"/>
        <w:spacing w:line="336" w:lineRule="auto"/>
        <w:ind w:left="905" w:leftChars="0" w:hanging="425" w:firstLineChars="0"/>
        <w:jc w:val="left"/>
        <w:textAlignment w:val="auto"/>
        <w:rPr>
          <w:rFonts w:hint="eastAsia" w:ascii="宋体" w:hAnsi="宋体" w:eastAsia="宋体" w:cs="宋体"/>
          <w:b w:val="0"/>
          <w:color w:val="auto"/>
          <w:kern w:val="2"/>
          <w:sz w:val="20"/>
          <w:szCs w:val="20"/>
          <w:highlight w:val="none"/>
        </w:rPr>
      </w:pPr>
      <w:r>
        <w:rPr>
          <w:rFonts w:hint="eastAsia" w:ascii="宋体" w:hAnsi="宋体" w:eastAsia="宋体" w:cs="宋体"/>
          <w:b w:val="0"/>
          <w:color w:val="auto"/>
          <w:kern w:val="2"/>
          <w:sz w:val="20"/>
          <w:szCs w:val="20"/>
          <w:highlight w:val="none"/>
        </w:rPr>
        <w:t>合同签署：</w:t>
      </w:r>
      <w:r>
        <w:rPr>
          <w:rFonts w:hint="eastAsia" w:ascii="宋体" w:hAnsi="宋体" w:eastAsia="宋体" w:cs="宋体"/>
          <w:b w:val="0"/>
          <w:bCs w:val="0"/>
          <w:color w:val="auto"/>
          <w:kern w:val="2"/>
          <w:sz w:val="20"/>
          <w:szCs w:val="20"/>
          <w:highlight w:val="none"/>
        </w:rPr>
        <w:t>中标</w:t>
      </w:r>
      <w:r>
        <w:rPr>
          <w:rFonts w:hint="eastAsia" w:ascii="宋体" w:hAnsi="宋体" w:cs="宋体"/>
          <w:b w:val="0"/>
          <w:bCs w:val="0"/>
          <w:color w:val="auto"/>
          <w:kern w:val="2"/>
          <w:sz w:val="20"/>
          <w:szCs w:val="20"/>
          <w:highlight w:val="none"/>
          <w:lang w:val="en-US" w:eastAsia="zh-CN"/>
        </w:rPr>
        <w:t>企业</w:t>
      </w:r>
      <w:r>
        <w:rPr>
          <w:rFonts w:hint="eastAsia" w:ascii="宋体" w:hAnsi="宋体" w:eastAsia="宋体" w:cs="宋体"/>
          <w:b w:val="0"/>
          <w:bCs w:val="0"/>
          <w:color w:val="auto"/>
          <w:kern w:val="2"/>
          <w:sz w:val="20"/>
          <w:szCs w:val="20"/>
          <w:highlight w:val="none"/>
        </w:rPr>
        <w:t>需在【</w:t>
      </w:r>
      <w:r>
        <w:rPr>
          <w:rFonts w:hint="eastAsia" w:ascii="宋体" w:hAnsi="宋体" w:cs="宋体"/>
          <w:b w:val="0"/>
          <w:bCs w:val="0"/>
          <w:color w:val="auto"/>
          <w:kern w:val="2"/>
          <w:sz w:val="20"/>
          <w:szCs w:val="20"/>
          <w:highlight w:val="none"/>
          <w:lang w:val="en-US" w:eastAsia="zh-CN"/>
        </w:rPr>
        <w:t>3</w:t>
      </w:r>
      <w:r>
        <w:rPr>
          <w:rFonts w:hint="eastAsia" w:ascii="宋体" w:hAnsi="宋体" w:eastAsia="宋体" w:cs="宋体"/>
          <w:b w:val="0"/>
          <w:bCs w:val="0"/>
          <w:color w:val="auto"/>
          <w:kern w:val="2"/>
          <w:sz w:val="20"/>
          <w:szCs w:val="20"/>
          <w:highlight w:val="none"/>
        </w:rPr>
        <w:t>】个自然日内（具体合同签署时间安排根据</w:t>
      </w:r>
      <w:r>
        <w:rPr>
          <w:rFonts w:hint="eastAsia" w:ascii="宋体" w:hAnsi="宋体" w:cs="宋体"/>
          <w:b w:val="0"/>
          <w:bCs w:val="0"/>
          <w:color w:val="auto"/>
          <w:kern w:val="2"/>
          <w:sz w:val="20"/>
          <w:szCs w:val="20"/>
          <w:highlight w:val="none"/>
          <w:lang w:val="en-US" w:eastAsia="zh-CN"/>
        </w:rPr>
        <w:t>采购</w:t>
      </w:r>
      <w:r>
        <w:rPr>
          <w:rFonts w:hint="eastAsia" w:ascii="宋体" w:hAnsi="宋体" w:eastAsia="宋体" w:cs="宋体"/>
          <w:b w:val="0"/>
          <w:bCs w:val="0"/>
          <w:color w:val="auto"/>
          <w:kern w:val="2"/>
          <w:sz w:val="20"/>
          <w:szCs w:val="20"/>
          <w:highlight w:val="none"/>
        </w:rPr>
        <w:t>通知为准）完成合同签署，未按期签署合同的将视为有责弃标，</w:t>
      </w:r>
      <w:r>
        <w:rPr>
          <w:rFonts w:hint="eastAsia" w:ascii="宋体" w:hAnsi="宋体" w:eastAsia="宋体" w:cs="宋体"/>
          <w:b w:val="0"/>
          <w:bCs w:val="0"/>
          <w:color w:val="auto"/>
          <w:kern w:val="2"/>
          <w:sz w:val="20"/>
          <w:szCs w:val="20"/>
          <w:highlight w:val="none"/>
          <w:lang w:val="en-US" w:eastAsia="zh-CN"/>
        </w:rPr>
        <w:t>跨越速运</w:t>
      </w:r>
      <w:r>
        <w:rPr>
          <w:rFonts w:hint="eastAsia" w:ascii="宋体" w:hAnsi="宋体" w:eastAsia="宋体" w:cs="宋体"/>
          <w:b w:val="0"/>
          <w:bCs w:val="0"/>
          <w:color w:val="auto"/>
          <w:kern w:val="2"/>
          <w:sz w:val="20"/>
          <w:szCs w:val="20"/>
          <w:highlight w:val="none"/>
        </w:rPr>
        <w:t>有权</w:t>
      </w:r>
      <w:r>
        <w:rPr>
          <w:rFonts w:hint="eastAsia" w:ascii="宋体" w:hAnsi="宋体" w:eastAsia="宋体" w:cs="宋体"/>
          <w:b w:val="0"/>
          <w:bCs w:val="0"/>
          <w:color w:val="auto"/>
          <w:kern w:val="2"/>
          <w:sz w:val="20"/>
          <w:szCs w:val="20"/>
          <w:highlight w:val="none"/>
          <w:lang w:val="en-US" w:eastAsia="zh-CN"/>
        </w:rPr>
        <w:t>直接</w:t>
      </w:r>
      <w:r>
        <w:rPr>
          <w:rFonts w:hint="eastAsia" w:ascii="宋体" w:hAnsi="宋体" w:eastAsia="宋体" w:cs="宋体"/>
          <w:b w:val="0"/>
          <w:bCs w:val="0"/>
          <w:color w:val="auto"/>
          <w:kern w:val="2"/>
          <w:sz w:val="20"/>
          <w:szCs w:val="20"/>
          <w:highlight w:val="none"/>
        </w:rPr>
        <w:t>扣除本次投标保证金，切停已有业务，限制投标，行为极其恶劣的，保留永久拉黑权利</w:t>
      </w:r>
      <w:r>
        <w:rPr>
          <w:rFonts w:hint="eastAsia" w:ascii="宋体" w:hAnsi="宋体" w:cs="宋体"/>
          <w:b w:val="0"/>
          <w:bCs w:val="0"/>
          <w:color w:val="auto"/>
          <w:kern w:val="2"/>
          <w:sz w:val="20"/>
          <w:szCs w:val="20"/>
          <w:highlight w:val="none"/>
          <w:lang w:eastAsia="zh-CN"/>
        </w:rPr>
        <w:t>；</w:t>
      </w:r>
    </w:p>
    <w:p w14:paraId="058D43BD">
      <w:pPr>
        <w:pStyle w:val="23"/>
        <w:pageBreakBefore w:val="0"/>
        <w:widowControl/>
        <w:numPr>
          <w:ilvl w:val="0"/>
          <w:numId w:val="8"/>
        </w:numPr>
        <w:kinsoku/>
        <w:wordWrap/>
        <w:overflowPunct/>
        <w:topLinePunct w:val="0"/>
        <w:autoSpaceDE/>
        <w:autoSpaceDN/>
        <w:bidi w:val="0"/>
        <w:adjustRightInd w:val="0"/>
        <w:snapToGrid w:val="0"/>
        <w:spacing w:line="336" w:lineRule="auto"/>
        <w:ind w:left="905" w:leftChars="0" w:hanging="425" w:firstLineChars="0"/>
        <w:jc w:val="left"/>
        <w:textAlignment w:val="auto"/>
        <w:rPr>
          <w:rFonts w:hint="eastAsia" w:ascii="宋体" w:hAnsi="宋体" w:eastAsia="宋体" w:cs="宋体"/>
          <w:b w:val="0"/>
          <w:color w:val="auto"/>
          <w:kern w:val="2"/>
          <w:sz w:val="20"/>
          <w:szCs w:val="20"/>
          <w:highlight w:val="none"/>
        </w:rPr>
      </w:pPr>
      <w:r>
        <w:rPr>
          <w:rFonts w:hint="eastAsia" w:ascii="宋体" w:hAnsi="宋体" w:eastAsia="宋体" w:cs="宋体"/>
          <w:b w:val="0"/>
          <w:color w:val="auto"/>
          <w:kern w:val="2"/>
          <w:sz w:val="20"/>
          <w:szCs w:val="20"/>
          <w:highlight w:val="none"/>
        </w:rPr>
        <w:t>合同执行：</w:t>
      </w:r>
      <w:r>
        <w:rPr>
          <w:rFonts w:hint="eastAsia" w:ascii="宋体" w:hAnsi="宋体" w:eastAsia="宋体" w:cs="宋体"/>
          <w:b w:val="0"/>
          <w:bCs w:val="0"/>
          <w:color w:val="auto"/>
          <w:kern w:val="2"/>
          <w:sz w:val="20"/>
          <w:szCs w:val="20"/>
          <w:highlight w:val="none"/>
        </w:rPr>
        <w:t>业务启动前</w:t>
      </w:r>
      <w:r>
        <w:rPr>
          <w:rFonts w:hint="eastAsia" w:ascii="宋体" w:hAnsi="宋体" w:cs="宋体"/>
          <w:b w:val="0"/>
          <w:bCs w:val="0"/>
          <w:color w:val="auto"/>
          <w:kern w:val="2"/>
          <w:sz w:val="20"/>
          <w:szCs w:val="20"/>
          <w:highlight w:val="none"/>
          <w:lang w:val="en-US" w:eastAsia="zh-CN"/>
        </w:rPr>
        <w:t>需</w:t>
      </w:r>
      <w:r>
        <w:rPr>
          <w:rFonts w:hint="eastAsia" w:ascii="宋体" w:hAnsi="宋体" w:eastAsia="宋体" w:cs="宋体"/>
          <w:b w:val="0"/>
          <w:bCs w:val="0"/>
          <w:color w:val="auto"/>
          <w:kern w:val="2"/>
          <w:sz w:val="20"/>
          <w:szCs w:val="20"/>
          <w:highlight w:val="none"/>
        </w:rPr>
        <w:t>按</w:t>
      </w:r>
      <w:r>
        <w:rPr>
          <w:rFonts w:hint="eastAsia" w:ascii="宋体" w:hAnsi="宋体" w:cs="宋体"/>
          <w:b w:val="0"/>
          <w:bCs w:val="0"/>
          <w:color w:val="auto"/>
          <w:kern w:val="2"/>
          <w:sz w:val="20"/>
          <w:szCs w:val="20"/>
          <w:highlight w:val="none"/>
          <w:lang w:val="en-US" w:eastAsia="zh-CN"/>
        </w:rPr>
        <w:t>合同</w:t>
      </w:r>
      <w:r>
        <w:rPr>
          <w:rFonts w:hint="eastAsia" w:ascii="宋体" w:hAnsi="宋体" w:eastAsia="宋体" w:cs="宋体"/>
          <w:b w:val="0"/>
          <w:bCs w:val="0"/>
          <w:color w:val="auto"/>
          <w:kern w:val="2"/>
          <w:sz w:val="20"/>
          <w:szCs w:val="20"/>
          <w:highlight w:val="none"/>
        </w:rPr>
        <w:t>规定缴纳履约保证金，未按期缴纳履约保证金或缴纳后未按约定执行合同的将被扣除投标保证金，</w:t>
      </w:r>
      <w:r>
        <w:rPr>
          <w:rFonts w:hint="eastAsia" w:ascii="宋体" w:hAnsi="宋体" w:eastAsia="宋体" w:cs="宋体"/>
          <w:b w:val="0"/>
          <w:bCs w:val="0"/>
          <w:color w:val="auto"/>
          <w:kern w:val="2"/>
          <w:sz w:val="20"/>
          <w:szCs w:val="20"/>
          <w:highlight w:val="none"/>
          <w:lang w:val="en-US" w:eastAsia="zh-CN"/>
        </w:rPr>
        <w:t>跨越速运</w:t>
      </w:r>
      <w:r>
        <w:rPr>
          <w:rFonts w:hint="eastAsia" w:ascii="宋体" w:hAnsi="宋体" w:eastAsia="宋体" w:cs="宋体"/>
          <w:b w:val="0"/>
          <w:bCs w:val="0"/>
          <w:color w:val="auto"/>
          <w:kern w:val="2"/>
          <w:sz w:val="20"/>
          <w:szCs w:val="20"/>
          <w:highlight w:val="none"/>
        </w:rPr>
        <w:t>有权</w:t>
      </w:r>
      <w:r>
        <w:rPr>
          <w:rFonts w:hint="eastAsia" w:ascii="宋体" w:hAnsi="宋体" w:eastAsia="宋体" w:cs="宋体"/>
          <w:b w:val="0"/>
          <w:bCs w:val="0"/>
          <w:color w:val="auto"/>
          <w:kern w:val="2"/>
          <w:sz w:val="20"/>
          <w:szCs w:val="20"/>
          <w:highlight w:val="none"/>
          <w:lang w:val="en-US" w:eastAsia="zh-CN"/>
        </w:rPr>
        <w:t>直接</w:t>
      </w:r>
      <w:r>
        <w:rPr>
          <w:rFonts w:hint="eastAsia" w:ascii="宋体" w:hAnsi="宋体" w:eastAsia="宋体" w:cs="宋体"/>
          <w:b w:val="0"/>
          <w:bCs w:val="0"/>
          <w:color w:val="auto"/>
          <w:kern w:val="2"/>
          <w:sz w:val="20"/>
          <w:szCs w:val="20"/>
          <w:highlight w:val="none"/>
        </w:rPr>
        <w:t>扣除本次投标保证金，切停已有业务，限制投标，行为极其恶劣的，保留永久拉黑权利</w:t>
      </w:r>
      <w:r>
        <w:rPr>
          <w:rFonts w:hint="eastAsia" w:ascii="宋体" w:hAnsi="宋体" w:cs="宋体"/>
          <w:b w:val="0"/>
          <w:bCs w:val="0"/>
          <w:color w:val="auto"/>
          <w:kern w:val="2"/>
          <w:sz w:val="20"/>
          <w:szCs w:val="20"/>
          <w:highlight w:val="none"/>
          <w:lang w:eastAsia="zh-CN"/>
        </w:rPr>
        <w:t>；</w:t>
      </w:r>
    </w:p>
    <w:p w14:paraId="000C958D">
      <w:pPr>
        <w:pStyle w:val="23"/>
        <w:pageBreakBefore w:val="0"/>
        <w:widowControl/>
        <w:numPr>
          <w:ilvl w:val="0"/>
          <w:numId w:val="8"/>
        </w:numPr>
        <w:kinsoku/>
        <w:wordWrap/>
        <w:overflowPunct/>
        <w:topLinePunct w:val="0"/>
        <w:autoSpaceDE/>
        <w:autoSpaceDN/>
        <w:bidi w:val="0"/>
        <w:adjustRightInd w:val="0"/>
        <w:snapToGrid w:val="0"/>
        <w:spacing w:line="336" w:lineRule="auto"/>
        <w:ind w:left="905" w:leftChars="0" w:hanging="425" w:firstLineChars="0"/>
        <w:jc w:val="left"/>
        <w:textAlignment w:val="auto"/>
        <w:rPr>
          <w:rFonts w:hint="eastAsia" w:ascii="宋体" w:hAnsi="宋体" w:eastAsia="宋体" w:cs="宋体"/>
          <w:b w:val="0"/>
          <w:color w:val="auto"/>
          <w:kern w:val="2"/>
          <w:sz w:val="20"/>
          <w:szCs w:val="20"/>
          <w:highlight w:val="none"/>
        </w:rPr>
      </w:pPr>
      <w:r>
        <w:rPr>
          <w:rFonts w:hint="eastAsia" w:ascii="宋体" w:hAnsi="宋体" w:eastAsia="宋体" w:cs="宋体"/>
          <w:b w:val="0"/>
          <w:color w:val="auto"/>
          <w:kern w:val="2"/>
          <w:sz w:val="20"/>
          <w:szCs w:val="20"/>
          <w:highlight w:val="none"/>
        </w:rPr>
        <w:t>弃标：因</w:t>
      </w:r>
      <w:r>
        <w:rPr>
          <w:rFonts w:hint="eastAsia" w:ascii="宋体" w:hAnsi="宋体" w:cs="宋体"/>
          <w:b w:val="0"/>
          <w:color w:val="auto"/>
          <w:kern w:val="2"/>
          <w:sz w:val="20"/>
          <w:szCs w:val="20"/>
          <w:highlight w:val="none"/>
          <w:lang w:val="en-US" w:eastAsia="zh-CN"/>
        </w:rPr>
        <w:t>投标方</w:t>
      </w:r>
      <w:r>
        <w:rPr>
          <w:rFonts w:hint="eastAsia" w:ascii="宋体" w:hAnsi="宋体" w:eastAsia="宋体" w:cs="宋体"/>
          <w:b w:val="0"/>
          <w:color w:val="auto"/>
          <w:kern w:val="2"/>
          <w:sz w:val="20"/>
          <w:szCs w:val="20"/>
          <w:highlight w:val="none"/>
        </w:rPr>
        <w:t>自身原因弃标的则为有责弃标，</w:t>
      </w:r>
      <w:r>
        <w:rPr>
          <w:rFonts w:hint="eastAsia" w:ascii="宋体" w:hAnsi="宋体" w:eastAsia="宋体" w:cs="宋体"/>
          <w:b w:val="0"/>
          <w:color w:val="auto"/>
          <w:kern w:val="2"/>
          <w:sz w:val="20"/>
          <w:szCs w:val="20"/>
          <w:highlight w:val="none"/>
          <w:lang w:val="en-US" w:eastAsia="zh-CN"/>
        </w:rPr>
        <w:t>跨越速运</w:t>
      </w:r>
      <w:r>
        <w:rPr>
          <w:rFonts w:hint="eastAsia" w:ascii="宋体" w:hAnsi="宋体" w:eastAsia="宋体" w:cs="宋体"/>
          <w:b w:val="0"/>
          <w:color w:val="auto"/>
          <w:kern w:val="2"/>
          <w:sz w:val="20"/>
          <w:szCs w:val="20"/>
          <w:highlight w:val="none"/>
        </w:rPr>
        <w:t>有权</w:t>
      </w:r>
      <w:r>
        <w:rPr>
          <w:rFonts w:hint="eastAsia" w:ascii="宋体" w:hAnsi="宋体" w:eastAsia="宋体" w:cs="宋体"/>
          <w:b w:val="0"/>
          <w:color w:val="auto"/>
          <w:kern w:val="2"/>
          <w:sz w:val="20"/>
          <w:szCs w:val="20"/>
          <w:highlight w:val="none"/>
          <w:lang w:val="en-US" w:eastAsia="zh-CN"/>
        </w:rPr>
        <w:t>直接</w:t>
      </w:r>
      <w:r>
        <w:rPr>
          <w:rFonts w:hint="eastAsia" w:ascii="宋体" w:hAnsi="宋体" w:eastAsia="宋体" w:cs="宋体"/>
          <w:b w:val="0"/>
          <w:color w:val="auto"/>
          <w:kern w:val="2"/>
          <w:sz w:val="20"/>
          <w:szCs w:val="20"/>
          <w:highlight w:val="none"/>
        </w:rPr>
        <w:t>扣除本次投标保证金，切停已有业务，限制投标，行为极其恶劣的，保留永久拉黑权利</w:t>
      </w:r>
      <w:r>
        <w:rPr>
          <w:rFonts w:hint="eastAsia" w:ascii="宋体" w:hAnsi="宋体" w:eastAsia="宋体" w:cs="宋体"/>
          <w:b w:val="0"/>
          <w:color w:val="auto"/>
          <w:kern w:val="2"/>
          <w:sz w:val="20"/>
          <w:szCs w:val="20"/>
          <w:highlight w:val="none"/>
          <w:lang w:eastAsia="zh-CN"/>
        </w:rPr>
        <w:t>；</w:t>
      </w:r>
    </w:p>
    <w:p w14:paraId="7D3CAEA0">
      <w:pPr>
        <w:pStyle w:val="23"/>
        <w:pageBreakBefore w:val="0"/>
        <w:widowControl/>
        <w:numPr>
          <w:ilvl w:val="0"/>
          <w:numId w:val="8"/>
        </w:numPr>
        <w:kinsoku/>
        <w:wordWrap/>
        <w:overflowPunct/>
        <w:topLinePunct w:val="0"/>
        <w:autoSpaceDE/>
        <w:autoSpaceDN/>
        <w:bidi w:val="0"/>
        <w:adjustRightInd w:val="0"/>
        <w:snapToGrid w:val="0"/>
        <w:spacing w:line="336" w:lineRule="auto"/>
        <w:ind w:left="905" w:leftChars="0" w:hanging="425" w:firstLineChars="0"/>
        <w:jc w:val="left"/>
        <w:textAlignment w:val="auto"/>
        <w:rPr>
          <w:rFonts w:hint="eastAsia" w:ascii="宋体" w:hAnsi="宋体" w:cs="宋体"/>
          <w:b w:val="0"/>
          <w:color w:val="auto"/>
          <w:sz w:val="20"/>
          <w:szCs w:val="20"/>
          <w:highlight w:val="none"/>
        </w:rPr>
      </w:pPr>
      <w:r>
        <w:rPr>
          <w:rFonts w:hint="eastAsia" w:ascii="宋体" w:hAnsi="宋体" w:cs="宋体"/>
          <w:b w:val="0"/>
          <w:color w:val="auto"/>
          <w:sz w:val="20"/>
          <w:szCs w:val="20"/>
          <w:highlight w:val="none"/>
        </w:rPr>
        <w:t>招标方评标委员会依据投标人资质等级、履约能力评估、历史合作评价、战略匹配度以及项目需求变化等多方面因素，参照招标的各项综合评价标准开展评标工作。在评审过程中，依据每一位投标人所提交的投标文件及相关资料，对各方面表现进行量化评分与综合考量，以此确定符合要求且综合表现最优的投标人为中标人。倘若出现所有投标文件均无法满足招标文件所规定的各项实质性要求这一情况，比如关键技术指标不达标、商务条款存在重大偏离等，经评标委员会集体商议、综合评估后，有权在发出中标通知书前终止本招标项目，并及时向所有参与投标的单位通知。</w:t>
      </w:r>
    </w:p>
    <w:p w14:paraId="77DC38BA">
      <w:pPr>
        <w:pStyle w:val="23"/>
        <w:pageBreakBefore w:val="0"/>
        <w:widowControl/>
        <w:numPr>
          <w:ilvl w:val="0"/>
          <w:numId w:val="8"/>
        </w:numPr>
        <w:kinsoku/>
        <w:wordWrap/>
        <w:overflowPunct/>
        <w:topLinePunct w:val="0"/>
        <w:autoSpaceDE/>
        <w:autoSpaceDN/>
        <w:bidi w:val="0"/>
        <w:adjustRightInd w:val="0"/>
        <w:snapToGrid w:val="0"/>
        <w:spacing w:line="336" w:lineRule="auto"/>
        <w:ind w:left="905" w:leftChars="0" w:hanging="425" w:firstLineChars="0"/>
        <w:jc w:val="left"/>
        <w:textAlignment w:val="auto"/>
        <w:rPr>
          <w:rFonts w:hint="eastAsia" w:ascii="宋体" w:hAnsi="宋体" w:cs="宋体"/>
          <w:b w:val="0"/>
          <w:color w:val="auto"/>
          <w:sz w:val="20"/>
          <w:szCs w:val="20"/>
          <w:highlight w:val="none"/>
        </w:rPr>
      </w:pPr>
      <w:r>
        <w:rPr>
          <w:rFonts w:hint="eastAsia" w:ascii="宋体" w:hAnsi="宋体" w:cs="宋体"/>
          <w:b w:val="0"/>
          <w:color w:val="auto"/>
          <w:sz w:val="20"/>
          <w:szCs w:val="20"/>
          <w:highlight w:val="none"/>
        </w:rPr>
        <w:t>本次招标活动中，投标人的报价排名仅供参考，绝非中标最终排名的判定依据。评标环节，招标方评标委员会将严格按照各项综合评价标准展开工作，其中重点考量的因素包括但不限于：资质是否合格、履约能力强弱、技术方案优劣、有无丰富可靠的项目经验、能否提供完善的服务质量保障以及对招标文件要求的响应是否到位等。经评标委员会综合评估形成的最终排名，会通过招标方依规发出的中标通知书予以确认。</w:t>
      </w:r>
    </w:p>
    <w:p w14:paraId="7213B459">
      <w:pPr>
        <w:pStyle w:val="23"/>
        <w:pageBreakBefore w:val="0"/>
        <w:widowControl/>
        <w:numPr>
          <w:ilvl w:val="0"/>
          <w:numId w:val="8"/>
        </w:numPr>
        <w:kinsoku/>
        <w:wordWrap/>
        <w:overflowPunct/>
        <w:topLinePunct w:val="0"/>
        <w:autoSpaceDE/>
        <w:autoSpaceDN/>
        <w:bidi w:val="0"/>
        <w:adjustRightInd w:val="0"/>
        <w:snapToGrid w:val="0"/>
        <w:spacing w:line="336" w:lineRule="auto"/>
        <w:ind w:left="905" w:leftChars="0" w:hanging="425" w:firstLineChars="0"/>
        <w:jc w:val="left"/>
        <w:textAlignment w:val="auto"/>
        <w:rPr>
          <w:rFonts w:hint="eastAsia" w:ascii="宋体" w:hAnsi="宋体" w:cs="宋体"/>
          <w:b w:val="0"/>
          <w:color w:val="auto"/>
          <w:sz w:val="20"/>
          <w:szCs w:val="20"/>
          <w:highlight w:val="none"/>
        </w:rPr>
      </w:pPr>
      <w:r>
        <w:rPr>
          <w:rFonts w:hint="eastAsia" w:ascii="宋体" w:hAnsi="宋体" w:cs="宋体"/>
          <w:b w:val="0"/>
          <w:color w:val="auto"/>
          <w:sz w:val="20"/>
          <w:szCs w:val="20"/>
          <w:highlight w:val="none"/>
        </w:rPr>
        <w:t>投标人确认已知悉并同意，参与投标所产生的标书编制费、技术方案设计费、差旅支出、人员成本等所有前期投入，属于投标人自主商业决策范畴，投标人需自行承担相应风险和成本。</w:t>
      </w:r>
    </w:p>
    <w:p w14:paraId="0258E7BD">
      <w:pPr>
        <w:pStyle w:val="23"/>
        <w:pageBreakBefore w:val="0"/>
        <w:widowControl/>
        <w:numPr>
          <w:ilvl w:val="-1"/>
          <w:numId w:val="0"/>
        </w:numPr>
        <w:kinsoku/>
        <w:wordWrap/>
        <w:overflowPunct/>
        <w:topLinePunct w:val="0"/>
        <w:autoSpaceDE/>
        <w:autoSpaceDN/>
        <w:bidi w:val="0"/>
        <w:adjustRightInd w:val="0"/>
        <w:snapToGrid w:val="0"/>
        <w:spacing w:line="336" w:lineRule="auto"/>
        <w:ind w:left="480" w:leftChars="0" w:firstLine="0" w:firstLineChars="0"/>
        <w:jc w:val="left"/>
        <w:textAlignment w:val="auto"/>
        <w:rPr>
          <w:rFonts w:hint="eastAsia" w:ascii="宋体" w:hAnsi="宋体" w:cs="宋体"/>
          <w:b w:val="0"/>
          <w:color w:val="auto"/>
          <w:sz w:val="20"/>
          <w:szCs w:val="20"/>
          <w:highlight w:val="none"/>
        </w:rPr>
      </w:pPr>
    </w:p>
    <w:p w14:paraId="3E726702">
      <w:pPr>
        <w:pStyle w:val="23"/>
        <w:pageBreakBefore w:val="0"/>
        <w:widowControl/>
        <w:numPr>
          <w:ilvl w:val="0"/>
          <w:numId w:val="0"/>
        </w:numPr>
        <w:kinsoku/>
        <w:wordWrap/>
        <w:overflowPunct/>
        <w:topLinePunct w:val="0"/>
        <w:autoSpaceDE/>
        <w:autoSpaceDN/>
        <w:bidi w:val="0"/>
        <w:adjustRightInd w:val="0"/>
        <w:snapToGrid w:val="0"/>
        <w:spacing w:line="336" w:lineRule="auto"/>
        <w:jc w:val="left"/>
        <w:textAlignment w:val="auto"/>
        <w:rPr>
          <w:rFonts w:hint="eastAsia" w:ascii="宋体" w:hAnsi="宋体" w:eastAsia="宋体" w:cs="宋体"/>
          <w:b/>
          <w:bCs/>
          <w:color w:val="auto"/>
          <w:kern w:val="2"/>
          <w:sz w:val="20"/>
          <w:szCs w:val="20"/>
          <w:highlight w:val="none"/>
        </w:rPr>
      </w:pPr>
      <w:r>
        <w:rPr>
          <w:rFonts w:hint="eastAsia" w:ascii="宋体" w:hAnsi="宋体" w:cs="宋体"/>
          <w:b/>
          <w:bCs/>
          <w:color w:val="auto"/>
          <w:kern w:val="2"/>
          <w:sz w:val="20"/>
          <w:szCs w:val="20"/>
          <w:highlight w:val="none"/>
          <w:lang w:val="en-US" w:eastAsia="zh-CN"/>
        </w:rPr>
        <w:t>七、</w:t>
      </w:r>
      <w:r>
        <w:rPr>
          <w:rFonts w:hint="eastAsia" w:ascii="宋体" w:hAnsi="宋体" w:eastAsia="宋体" w:cs="宋体"/>
          <w:b/>
          <w:bCs/>
          <w:color w:val="auto"/>
          <w:kern w:val="2"/>
          <w:sz w:val="20"/>
          <w:szCs w:val="20"/>
          <w:highlight w:val="none"/>
        </w:rPr>
        <w:t>开标说明</w:t>
      </w:r>
    </w:p>
    <w:p w14:paraId="215F3E5F">
      <w:pPr>
        <w:pStyle w:val="23"/>
        <w:pageBreakBefore w:val="0"/>
        <w:widowControl/>
        <w:numPr>
          <w:ilvl w:val="-1"/>
          <w:numId w:val="0"/>
        </w:numPr>
        <w:kinsoku/>
        <w:wordWrap/>
        <w:overflowPunct/>
        <w:topLinePunct w:val="0"/>
        <w:autoSpaceDE/>
        <w:autoSpaceDN/>
        <w:bidi w:val="0"/>
        <w:adjustRightInd w:val="0"/>
        <w:snapToGrid w:val="0"/>
        <w:spacing w:line="336" w:lineRule="auto"/>
        <w:ind w:left="480" w:leftChars="200" w:firstLine="0" w:firstLineChars="0"/>
        <w:jc w:val="left"/>
        <w:textAlignment w:val="auto"/>
        <w:rPr>
          <w:rFonts w:hint="eastAsia" w:ascii="宋体" w:hAnsi="宋体" w:cs="宋体"/>
          <w:b/>
          <w:color w:val="000000"/>
          <w:sz w:val="20"/>
          <w:szCs w:val="20"/>
          <w:highlight w:val="none"/>
        </w:rPr>
      </w:pPr>
      <w:r>
        <w:rPr>
          <w:rFonts w:hint="eastAsia" w:ascii="宋体" w:hAnsi="宋体" w:cs="宋体"/>
          <w:b/>
          <w:color w:val="000000"/>
          <w:sz w:val="20"/>
          <w:szCs w:val="20"/>
          <w:highlight w:val="none"/>
        </w:rPr>
        <w:t>若出现以下情形之一（包括但不限于），招标方有权单方终止招标程序，且不承担任何违约责任，投标人不得就相关损失主张赔偿：</w:t>
      </w:r>
    </w:p>
    <w:p w14:paraId="25DEC3FE">
      <w:pPr>
        <w:pStyle w:val="23"/>
        <w:pageBreakBefore w:val="0"/>
        <w:widowControl/>
        <w:numPr>
          <w:ilvl w:val="0"/>
          <w:numId w:val="9"/>
        </w:numPr>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cs="宋体"/>
          <w:b/>
          <w:color w:val="000000"/>
          <w:sz w:val="20"/>
          <w:szCs w:val="20"/>
          <w:highlight w:val="none"/>
        </w:rPr>
      </w:pPr>
      <w:r>
        <w:rPr>
          <w:rFonts w:hint="eastAsia" w:ascii="宋体" w:hAnsi="宋体" w:cs="宋体"/>
          <w:b/>
          <w:color w:val="000000"/>
          <w:sz w:val="20"/>
          <w:szCs w:val="20"/>
          <w:highlight w:val="none"/>
        </w:rPr>
        <w:t>所有投标方案均未达到招标技术要求：即经评标，所有投标方案在关键技术指标等方面不符合招标书中的技术要求，项目无法按预期技术标准推进。</w:t>
      </w:r>
    </w:p>
    <w:p w14:paraId="0D8F2143">
      <w:pPr>
        <w:pStyle w:val="23"/>
        <w:pageBreakBefore w:val="0"/>
        <w:widowControl/>
        <w:numPr>
          <w:ilvl w:val="0"/>
          <w:numId w:val="9"/>
        </w:numPr>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cs="宋体"/>
          <w:b/>
          <w:color w:val="000000"/>
          <w:sz w:val="20"/>
          <w:szCs w:val="20"/>
          <w:highlight w:val="none"/>
        </w:rPr>
      </w:pPr>
      <w:r>
        <w:rPr>
          <w:rFonts w:hint="eastAsia" w:ascii="宋体" w:hAnsi="宋体" w:cs="宋体"/>
          <w:b/>
          <w:color w:val="000000"/>
          <w:sz w:val="20"/>
          <w:szCs w:val="20"/>
          <w:highlight w:val="none"/>
        </w:rPr>
        <w:t>招标方战略规划或采购需求发生重大调整：例如因市场变化、企业战略转型等原因，原招标相关需求不再适用，招标方为契合发展需要可终止招标。</w:t>
      </w:r>
    </w:p>
    <w:p w14:paraId="5EAB8824">
      <w:pPr>
        <w:pStyle w:val="23"/>
        <w:pageBreakBefore w:val="0"/>
        <w:widowControl/>
        <w:numPr>
          <w:ilvl w:val="0"/>
          <w:numId w:val="9"/>
        </w:numPr>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cs="宋体"/>
          <w:b/>
          <w:color w:val="000000"/>
          <w:sz w:val="20"/>
          <w:szCs w:val="20"/>
          <w:highlight w:val="none"/>
        </w:rPr>
      </w:pPr>
      <w:r>
        <w:rPr>
          <w:rFonts w:hint="eastAsia" w:ascii="宋体" w:hAnsi="宋体" w:cs="宋体"/>
          <w:b/>
          <w:color w:val="000000"/>
          <w:sz w:val="20"/>
          <w:szCs w:val="20"/>
          <w:highlight w:val="none"/>
        </w:rPr>
        <w:t>不可抗力导致项目实施基础丧失：像自然灾害、社会异常事件等不可抗力因素使项目实施必备条件缺失，项目无法正常开展时，招标方可终止招标。</w:t>
      </w:r>
    </w:p>
    <w:p w14:paraId="77F8DA6F">
      <w:pPr>
        <w:pStyle w:val="23"/>
        <w:pageBreakBefore w:val="0"/>
        <w:widowControl/>
        <w:numPr>
          <w:ilvl w:val="-1"/>
          <w:numId w:val="0"/>
        </w:numPr>
        <w:kinsoku/>
        <w:wordWrap/>
        <w:overflowPunct/>
        <w:topLinePunct w:val="0"/>
        <w:autoSpaceDE/>
        <w:autoSpaceDN/>
        <w:bidi w:val="0"/>
        <w:adjustRightInd w:val="0"/>
        <w:snapToGrid w:val="0"/>
        <w:spacing w:line="336" w:lineRule="auto"/>
        <w:ind w:left="0" w:leftChars="0" w:firstLine="0" w:firstLineChars="0"/>
        <w:jc w:val="left"/>
        <w:textAlignment w:val="auto"/>
        <w:rPr>
          <w:rFonts w:hint="eastAsia" w:ascii="宋体" w:hAnsi="宋体" w:eastAsia="宋体" w:cs="宋体"/>
          <w:b/>
          <w:color w:val="000000"/>
          <w:kern w:val="2"/>
          <w:sz w:val="20"/>
          <w:szCs w:val="20"/>
          <w:highlight w:val="none"/>
        </w:rPr>
      </w:pPr>
    </w:p>
    <w:p w14:paraId="0D473A1A">
      <w:pPr>
        <w:pageBreakBefore w:val="0"/>
        <w:widowControl/>
        <w:kinsoku/>
        <w:wordWrap/>
        <w:overflowPunct/>
        <w:topLinePunct w:val="0"/>
        <w:autoSpaceDE/>
        <w:autoSpaceDN/>
        <w:bidi w:val="0"/>
        <w:adjustRightInd w:val="0"/>
        <w:snapToGrid w:val="0"/>
        <w:spacing w:line="336" w:lineRule="auto"/>
        <w:jc w:val="left"/>
        <w:textAlignment w:val="auto"/>
        <w:rPr>
          <w:rFonts w:hint="default" w:ascii="宋体" w:hAnsi="宋体" w:eastAsia="宋体" w:cs="宋体"/>
          <w:b/>
          <w:color w:val="000000"/>
          <w:kern w:val="2"/>
          <w:sz w:val="20"/>
          <w:szCs w:val="20"/>
          <w:lang w:val="en-US" w:eastAsia="zh-CN"/>
        </w:rPr>
      </w:pPr>
      <w:r>
        <w:rPr>
          <w:rFonts w:hint="eastAsia" w:ascii="宋体" w:hAnsi="宋体" w:eastAsia="宋体" w:cs="宋体"/>
          <w:b/>
          <w:color w:val="000000"/>
          <w:kern w:val="2"/>
          <w:sz w:val="20"/>
          <w:szCs w:val="20"/>
          <w:lang w:val="en-US" w:eastAsia="zh-CN"/>
        </w:rPr>
        <w:t>八、联系我们</w:t>
      </w:r>
    </w:p>
    <w:p w14:paraId="488D369E">
      <w:pPr>
        <w:pageBreakBefore w:val="0"/>
        <w:widowControl/>
        <w:kinsoku/>
        <w:wordWrap/>
        <w:overflowPunct/>
        <w:topLinePunct w:val="0"/>
        <w:autoSpaceDE/>
        <w:autoSpaceDN/>
        <w:bidi w:val="0"/>
        <w:adjustRightInd w:val="0"/>
        <w:snapToGrid w:val="0"/>
        <w:spacing w:line="336" w:lineRule="auto"/>
        <w:ind w:firstLine="402" w:firstLineChars="200"/>
        <w:jc w:val="left"/>
        <w:textAlignment w:val="auto"/>
        <w:rPr>
          <w:rFonts w:hint="eastAsia" w:ascii="宋体" w:hAnsi="宋体" w:eastAsia="宋体" w:cs="宋体"/>
          <w:b/>
          <w:kern w:val="2"/>
          <w:sz w:val="20"/>
          <w:szCs w:val="20"/>
        </w:rPr>
      </w:pPr>
      <w:r>
        <w:rPr>
          <w:rFonts w:hint="eastAsia" w:ascii="宋体" w:hAnsi="宋体" w:eastAsia="宋体" w:cs="宋体"/>
          <w:b/>
          <w:kern w:val="2"/>
          <w:sz w:val="20"/>
          <w:szCs w:val="20"/>
        </w:rPr>
        <w:t>业务联系人：</w:t>
      </w:r>
      <w:r>
        <w:rPr>
          <w:rFonts w:hint="eastAsia" w:ascii="宋体" w:hAnsi="宋体" w:eastAsia="宋体" w:cs="宋体"/>
          <w:b/>
          <w:kern w:val="2"/>
          <w:sz w:val="20"/>
          <w:szCs w:val="20"/>
          <w:lang w:eastAsia="zh-CN"/>
        </w:rPr>
        <w:t>【</w:t>
      </w:r>
      <w:r>
        <w:rPr>
          <w:rFonts w:hint="eastAsia" w:ascii="宋体" w:hAnsi="宋体" w:eastAsia="宋体" w:cs="宋体"/>
          <w:b w:val="0"/>
          <w:bCs/>
          <w:kern w:val="2"/>
          <w:sz w:val="20"/>
          <w:szCs w:val="20"/>
          <w:lang w:val="en-US" w:eastAsia="zh-CN"/>
        </w:rPr>
        <w:t>联系人周孝苗电话</w:t>
      </w:r>
      <w:r>
        <w:rPr>
          <w:rFonts w:hint="eastAsia" w:ascii="宋体" w:hAnsi="宋体" w:eastAsia="宋体" w:cs="宋体"/>
          <w:b w:val="0"/>
          <w:bCs/>
          <w:kern w:val="2"/>
          <w:sz w:val="20"/>
          <w:szCs w:val="20"/>
          <w:highlight w:val="yellow"/>
          <w:lang w:val="en-US" w:eastAsia="zh-CN"/>
        </w:rPr>
        <w:t>18902487672</w:t>
      </w:r>
      <w:r>
        <w:rPr>
          <w:rFonts w:hint="eastAsia" w:ascii="宋体" w:hAnsi="宋体" w:eastAsia="宋体" w:cs="宋体"/>
          <w:b w:val="0"/>
          <w:bCs/>
          <w:kern w:val="2"/>
          <w:sz w:val="20"/>
          <w:szCs w:val="20"/>
          <w:lang w:val="en-US" w:eastAsia="zh-CN"/>
        </w:rPr>
        <w:t>】</w:t>
      </w:r>
      <w:r>
        <w:rPr>
          <w:rFonts w:hint="eastAsia" w:ascii="宋体" w:hAnsi="宋体" w:eastAsia="宋体" w:cs="宋体"/>
          <w:kern w:val="2"/>
          <w:sz w:val="20"/>
          <w:szCs w:val="20"/>
        </w:rPr>
        <w:t>负责业务答疑，可电话/</w:t>
      </w:r>
      <w:r>
        <w:rPr>
          <w:rFonts w:hint="eastAsia" w:ascii="宋体" w:hAnsi="宋体" w:eastAsia="宋体" w:cs="宋体"/>
          <w:kern w:val="2"/>
          <w:sz w:val="20"/>
          <w:szCs w:val="20"/>
          <w:lang w:val="en-US" w:eastAsia="zh-CN"/>
        </w:rPr>
        <w:t>微信</w:t>
      </w:r>
      <w:r>
        <w:rPr>
          <w:rFonts w:hint="eastAsia" w:ascii="宋体" w:hAnsi="宋体" w:eastAsia="宋体" w:cs="宋体"/>
          <w:kern w:val="2"/>
          <w:sz w:val="20"/>
          <w:szCs w:val="20"/>
        </w:rPr>
        <w:t>咨询</w:t>
      </w:r>
    </w:p>
    <w:p w14:paraId="26717034">
      <w:pPr>
        <w:pageBreakBefore w:val="0"/>
        <w:widowControl/>
        <w:kinsoku/>
        <w:wordWrap/>
        <w:overflowPunct/>
        <w:topLinePunct w:val="0"/>
        <w:autoSpaceDE/>
        <w:autoSpaceDN/>
        <w:bidi w:val="0"/>
        <w:adjustRightInd w:val="0"/>
        <w:snapToGrid w:val="0"/>
        <w:spacing w:line="336" w:lineRule="auto"/>
        <w:ind w:firstLine="402" w:firstLineChars="200"/>
        <w:jc w:val="left"/>
        <w:textAlignment w:val="auto"/>
        <w:rPr>
          <w:rFonts w:hint="eastAsia" w:ascii="宋体" w:hAnsi="宋体" w:eastAsia="宋体" w:cs="宋体"/>
          <w:kern w:val="2"/>
          <w:sz w:val="20"/>
          <w:szCs w:val="20"/>
        </w:rPr>
      </w:pPr>
      <w:r>
        <w:rPr>
          <w:rFonts w:hint="eastAsia" w:ascii="宋体" w:hAnsi="宋体" w:eastAsia="宋体" w:cs="宋体"/>
          <w:b/>
          <w:kern w:val="2"/>
          <w:sz w:val="20"/>
          <w:szCs w:val="20"/>
          <w:lang w:val="en-US" w:eastAsia="zh-CN"/>
        </w:rPr>
        <w:t>招</w:t>
      </w:r>
      <w:r>
        <w:rPr>
          <w:rFonts w:hint="eastAsia" w:ascii="宋体" w:hAnsi="宋体" w:eastAsia="宋体" w:cs="宋体"/>
          <w:b/>
          <w:kern w:val="2"/>
          <w:sz w:val="20"/>
          <w:szCs w:val="20"/>
        </w:rPr>
        <w:t>标联系人：</w:t>
      </w:r>
      <w:r>
        <w:rPr>
          <w:rFonts w:hint="eastAsia" w:ascii="宋体" w:hAnsi="宋体" w:eastAsia="宋体" w:cs="宋体"/>
          <w:b/>
          <w:kern w:val="2"/>
          <w:sz w:val="20"/>
          <w:szCs w:val="20"/>
          <w:lang w:eastAsia="zh-CN"/>
        </w:rPr>
        <w:t>【</w:t>
      </w:r>
      <w:r>
        <w:rPr>
          <w:rFonts w:hint="eastAsia" w:ascii="宋体" w:hAnsi="宋体" w:eastAsia="宋体" w:cs="宋体"/>
          <w:b w:val="0"/>
          <w:bCs/>
          <w:kern w:val="2"/>
          <w:sz w:val="20"/>
          <w:szCs w:val="20"/>
          <w:lang w:val="en-US" w:eastAsia="zh-CN"/>
        </w:rPr>
        <w:t>联系人周孝苗电话</w:t>
      </w:r>
      <w:r>
        <w:rPr>
          <w:rFonts w:hint="eastAsia" w:ascii="宋体" w:hAnsi="宋体" w:eastAsia="宋体" w:cs="宋体"/>
          <w:b w:val="0"/>
          <w:bCs/>
          <w:kern w:val="2"/>
          <w:sz w:val="20"/>
          <w:szCs w:val="20"/>
          <w:highlight w:val="yellow"/>
          <w:lang w:val="en-US" w:eastAsia="zh-CN"/>
        </w:rPr>
        <w:t>18902487672</w:t>
      </w:r>
      <w:r>
        <w:rPr>
          <w:rFonts w:hint="eastAsia" w:ascii="宋体" w:hAnsi="宋体" w:eastAsia="宋体" w:cs="宋体"/>
          <w:b w:val="0"/>
          <w:bCs/>
          <w:kern w:val="2"/>
          <w:sz w:val="20"/>
          <w:szCs w:val="20"/>
          <w:lang w:val="en-US" w:eastAsia="zh-CN"/>
        </w:rPr>
        <w:t>】</w:t>
      </w:r>
      <w:r>
        <w:rPr>
          <w:rFonts w:hint="eastAsia" w:ascii="宋体" w:hAnsi="宋体" w:eastAsia="宋体" w:cs="宋体"/>
          <w:kern w:val="2"/>
          <w:sz w:val="20"/>
          <w:szCs w:val="20"/>
        </w:rPr>
        <w:t>负责本次招标全流程，可电话/</w:t>
      </w:r>
      <w:r>
        <w:rPr>
          <w:rFonts w:hint="eastAsia" w:ascii="宋体" w:hAnsi="宋体" w:eastAsia="宋体" w:cs="宋体"/>
          <w:kern w:val="2"/>
          <w:sz w:val="20"/>
          <w:szCs w:val="20"/>
          <w:lang w:val="en-US" w:eastAsia="zh-CN"/>
        </w:rPr>
        <w:t>微信</w:t>
      </w:r>
      <w:r>
        <w:rPr>
          <w:rFonts w:hint="eastAsia" w:ascii="宋体" w:hAnsi="宋体" w:eastAsia="宋体" w:cs="宋体"/>
          <w:kern w:val="2"/>
          <w:sz w:val="20"/>
          <w:szCs w:val="20"/>
        </w:rPr>
        <w:t>咨询</w:t>
      </w:r>
    </w:p>
    <w:p w14:paraId="59511B8B">
      <w:pPr>
        <w:pageBreakBefore w:val="0"/>
        <w:widowControl/>
        <w:kinsoku/>
        <w:wordWrap/>
        <w:overflowPunct/>
        <w:topLinePunct w:val="0"/>
        <w:autoSpaceDE/>
        <w:autoSpaceDN/>
        <w:bidi w:val="0"/>
        <w:adjustRightInd w:val="0"/>
        <w:snapToGrid w:val="0"/>
        <w:spacing w:line="336" w:lineRule="auto"/>
        <w:ind w:firstLine="402" w:firstLineChars="200"/>
        <w:jc w:val="left"/>
        <w:textAlignment w:val="auto"/>
        <w:rPr>
          <w:rFonts w:hint="eastAsia" w:ascii="宋体" w:hAnsi="宋体" w:eastAsia="宋体" w:cs="宋体"/>
          <w:b w:val="0"/>
          <w:bCs/>
          <w:kern w:val="2"/>
          <w:sz w:val="20"/>
          <w:szCs w:val="20"/>
          <w:lang w:val="en-US" w:eastAsia="zh-CN"/>
        </w:rPr>
      </w:pPr>
      <w:r>
        <w:rPr>
          <w:rFonts w:hint="eastAsia" w:ascii="宋体" w:hAnsi="宋体" w:eastAsia="宋体" w:cs="宋体"/>
          <w:b/>
          <w:bCs/>
          <w:kern w:val="2"/>
          <w:sz w:val="20"/>
          <w:szCs w:val="20"/>
          <w:lang w:val="en-US" w:eastAsia="zh-CN"/>
        </w:rPr>
        <w:t>招采邮箱：【</w:t>
      </w:r>
      <w:r>
        <w:rPr>
          <w:rFonts w:hint="eastAsia" w:ascii="微软雅黑" w:hAnsi="微软雅黑" w:eastAsia="微软雅黑" w:cs="微软雅黑"/>
          <w:color w:val="267EF0"/>
          <w:sz w:val="16"/>
          <w:szCs w:val="16"/>
          <w:u w:val="single"/>
          <w:shd w:val="clear" w:color="auto" w:fill="FFFFFF"/>
        </w:rPr>
        <w:t>zhouxiaomiao@ky-express.com</w:t>
      </w:r>
      <w:r>
        <w:rPr>
          <w:rFonts w:hint="eastAsia" w:ascii="宋体" w:hAnsi="宋体" w:eastAsia="宋体" w:cs="宋体"/>
          <w:b w:val="0"/>
          <w:bCs/>
          <w:kern w:val="2"/>
          <w:sz w:val="20"/>
          <w:szCs w:val="20"/>
          <w:lang w:val="en-US" w:eastAsia="zh-CN"/>
        </w:rPr>
        <w:t>】</w:t>
      </w:r>
    </w:p>
    <w:p w14:paraId="48B5F167">
      <w:pPr>
        <w:pageBreakBefore w:val="0"/>
        <w:widowControl/>
        <w:kinsoku/>
        <w:wordWrap/>
        <w:overflowPunct/>
        <w:topLinePunct w:val="0"/>
        <w:autoSpaceDE/>
        <w:autoSpaceDN/>
        <w:bidi w:val="0"/>
        <w:adjustRightInd w:val="0"/>
        <w:snapToGrid w:val="0"/>
        <w:spacing w:line="336" w:lineRule="auto"/>
        <w:ind w:firstLine="402" w:firstLineChars="200"/>
        <w:jc w:val="left"/>
        <w:textAlignment w:val="auto"/>
        <w:rPr>
          <w:rFonts w:hint="default" w:ascii="宋体" w:hAnsi="宋体" w:eastAsia="宋体" w:cs="宋体"/>
          <w:b/>
          <w:bCs w:val="0"/>
          <w:kern w:val="2"/>
          <w:sz w:val="20"/>
          <w:szCs w:val="20"/>
          <w:lang w:val="en-US" w:eastAsia="zh-CN"/>
        </w:rPr>
      </w:pPr>
      <w:r>
        <w:rPr>
          <w:rFonts w:hint="eastAsia" w:ascii="宋体" w:hAnsi="宋体" w:eastAsia="宋体" w:cs="宋体"/>
          <w:b/>
          <w:bCs w:val="0"/>
          <w:kern w:val="2"/>
          <w:sz w:val="20"/>
          <w:szCs w:val="20"/>
          <w:lang w:val="en-US" w:eastAsia="zh-CN"/>
        </w:rPr>
        <w:t>联系地址：</w:t>
      </w:r>
      <w:r>
        <w:rPr>
          <w:rFonts w:hint="eastAsia" w:ascii="宋体" w:hAnsi="宋体" w:eastAsia="宋体" w:cs="宋体"/>
          <w:b w:val="0"/>
          <w:bCs/>
          <w:kern w:val="2"/>
          <w:sz w:val="20"/>
          <w:szCs w:val="20"/>
          <w:lang w:val="en-US" w:eastAsia="zh-CN"/>
        </w:rPr>
        <w:t>深圳市宝安区后瑞社区汉莎产业园跨越速运集团有限公司</w:t>
      </w:r>
    </w:p>
    <w:p w14:paraId="35C994BB">
      <w:pPr>
        <w:pageBreakBefore w:val="0"/>
        <w:widowControl/>
        <w:kinsoku/>
        <w:wordWrap/>
        <w:overflowPunct/>
        <w:topLinePunct w:val="0"/>
        <w:autoSpaceDE/>
        <w:autoSpaceDN/>
        <w:bidi w:val="0"/>
        <w:adjustRightInd w:val="0"/>
        <w:snapToGrid w:val="0"/>
        <w:spacing w:line="336" w:lineRule="auto"/>
        <w:ind w:firstLine="400" w:firstLineChars="200"/>
        <w:jc w:val="left"/>
        <w:textAlignment w:val="auto"/>
        <w:rPr>
          <w:rFonts w:hint="eastAsia" w:ascii="宋体" w:hAnsi="宋体" w:eastAsia="宋体" w:cs="宋体"/>
          <w:b w:val="0"/>
          <w:bCs/>
          <w:kern w:val="2"/>
          <w:sz w:val="20"/>
          <w:szCs w:val="20"/>
          <w:lang w:val="en-US" w:eastAsia="zh-CN"/>
        </w:rPr>
      </w:pPr>
    </w:p>
    <w:p w14:paraId="66B195EB">
      <w:pPr>
        <w:pageBreakBefore w:val="0"/>
        <w:kinsoku/>
        <w:wordWrap/>
        <w:overflowPunct/>
        <w:topLinePunct w:val="0"/>
        <w:autoSpaceDE/>
        <w:autoSpaceDN/>
        <w:bidi w:val="0"/>
        <w:adjustRightInd w:val="0"/>
        <w:snapToGrid w:val="0"/>
        <w:spacing w:line="336" w:lineRule="auto"/>
        <w:jc w:val="left"/>
        <w:textAlignment w:val="auto"/>
        <w:rPr>
          <w:rFonts w:hint="default" w:ascii="宋体" w:hAnsi="宋体" w:eastAsia="宋体" w:cs="宋体"/>
          <w:b/>
          <w:color w:val="auto"/>
          <w:kern w:val="2"/>
          <w:sz w:val="20"/>
          <w:szCs w:val="20"/>
          <w:highlight w:val="none"/>
          <w:lang w:val="en-US" w:eastAsia="zh-CN"/>
        </w:rPr>
      </w:pPr>
      <w:r>
        <w:rPr>
          <w:rFonts w:hint="eastAsia" w:ascii="宋体" w:hAnsi="宋体" w:eastAsia="宋体" w:cs="宋体"/>
          <w:b/>
          <w:color w:val="auto"/>
          <w:kern w:val="2"/>
          <w:sz w:val="20"/>
          <w:szCs w:val="20"/>
          <w:highlight w:val="none"/>
          <w:lang w:val="en-US" w:eastAsia="zh-CN"/>
        </w:rPr>
        <w:t>九、招标文件</w:t>
      </w:r>
    </w:p>
    <w:p w14:paraId="6014F543">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color w:val="FF0000"/>
          <w:kern w:val="2"/>
          <w:sz w:val="20"/>
          <w:szCs w:val="20"/>
        </w:rPr>
      </w:pPr>
      <w:r>
        <w:rPr>
          <w:rFonts w:hint="eastAsia" w:ascii="宋体" w:hAnsi="宋体" w:eastAsia="宋体" w:cs="宋体"/>
          <w:b/>
          <w:color w:val="FF0000"/>
          <w:kern w:val="2"/>
          <w:sz w:val="20"/>
          <w:szCs w:val="20"/>
        </w:rPr>
        <w:t>详见</w:t>
      </w:r>
      <w:r>
        <w:rPr>
          <w:rFonts w:hint="eastAsia" w:ascii="宋体" w:hAnsi="宋体" w:eastAsia="宋体" w:cs="宋体"/>
          <w:b/>
          <w:color w:val="FF0000"/>
          <w:kern w:val="2"/>
          <w:sz w:val="20"/>
          <w:szCs w:val="20"/>
          <w:lang w:val="en-US" w:eastAsia="zh-CN"/>
        </w:rPr>
        <w:t>供应商平台招标</w:t>
      </w:r>
      <w:r>
        <w:rPr>
          <w:rFonts w:hint="eastAsia" w:ascii="宋体" w:hAnsi="宋体" w:eastAsia="宋体" w:cs="宋体"/>
          <w:b/>
          <w:color w:val="FF0000"/>
          <w:kern w:val="2"/>
          <w:sz w:val="20"/>
          <w:szCs w:val="20"/>
        </w:rPr>
        <w:t>系统</w:t>
      </w:r>
      <w:r>
        <w:rPr>
          <w:rFonts w:hint="eastAsia" w:ascii="宋体" w:hAnsi="宋体" w:eastAsia="宋体" w:cs="宋体"/>
          <w:b/>
          <w:color w:val="FF0000"/>
          <w:kern w:val="2"/>
          <w:sz w:val="20"/>
          <w:szCs w:val="20"/>
          <w:lang w:val="en-US" w:eastAsia="zh-CN"/>
        </w:rPr>
        <w:t>的项目招标文件</w:t>
      </w:r>
    </w:p>
    <w:p w14:paraId="211DF774">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color w:val="000000"/>
          <w:kern w:val="2"/>
          <w:sz w:val="20"/>
          <w:szCs w:val="20"/>
          <w:lang w:val="en-US" w:eastAsia="zh-CN"/>
        </w:rPr>
      </w:pPr>
      <w:r>
        <w:rPr>
          <w:rFonts w:hint="eastAsia" w:ascii="宋体" w:hAnsi="宋体" w:eastAsia="宋体" w:cs="宋体"/>
          <w:b/>
          <w:color w:val="000000"/>
          <w:kern w:val="2"/>
          <w:sz w:val="20"/>
          <w:szCs w:val="20"/>
        </w:rPr>
        <w:t>附件一：标的</w:t>
      </w:r>
      <w:r>
        <w:rPr>
          <w:rFonts w:hint="eastAsia" w:ascii="宋体" w:hAnsi="宋体" w:eastAsia="宋体" w:cs="宋体"/>
          <w:b/>
          <w:color w:val="000000"/>
          <w:kern w:val="2"/>
          <w:sz w:val="20"/>
          <w:szCs w:val="20"/>
          <w:lang w:val="en-US" w:eastAsia="zh-CN"/>
        </w:rPr>
        <w:t>详情</w:t>
      </w:r>
    </w:p>
    <w:p w14:paraId="7370CC08">
      <w:pPr>
        <w:pageBreakBefore w:val="0"/>
        <w:widowControl/>
        <w:kinsoku/>
        <w:wordWrap/>
        <w:overflowPunct/>
        <w:topLinePunct w:val="0"/>
        <w:autoSpaceDE/>
        <w:autoSpaceDN/>
        <w:bidi w:val="0"/>
        <w:adjustRightInd w:val="0"/>
        <w:snapToGrid w:val="0"/>
        <w:spacing w:line="336" w:lineRule="auto"/>
        <w:jc w:val="left"/>
        <w:textAlignment w:val="auto"/>
        <w:rPr>
          <w:rFonts w:hint="default" w:ascii="宋体" w:hAnsi="宋体" w:eastAsia="宋体" w:cs="宋体"/>
          <w:b/>
          <w:color w:val="000000"/>
          <w:kern w:val="2"/>
          <w:sz w:val="20"/>
          <w:szCs w:val="20"/>
          <w:lang w:val="en-US" w:eastAsia="zh-CN"/>
        </w:rPr>
      </w:pPr>
      <w:bookmarkStart w:id="0" w:name="_MON_1751353756"/>
      <w:bookmarkEnd w:id="0"/>
      <w:bookmarkStart w:id="1" w:name="_MON_1778049252"/>
      <w:bookmarkEnd w:id="1"/>
      <w:r>
        <w:rPr>
          <w:rFonts w:hint="eastAsia" w:ascii="宋体" w:hAnsi="宋体" w:eastAsia="宋体" w:cs="宋体"/>
          <w:b/>
          <w:color w:val="000000"/>
          <w:kern w:val="2"/>
          <w:sz w:val="20"/>
          <w:szCs w:val="20"/>
          <w:lang w:val="en-US" w:eastAsia="zh-CN"/>
        </w:rPr>
        <w:t xml:space="preserve">    </w:t>
      </w:r>
      <w:r>
        <w:rPr>
          <w:rFonts w:hint="eastAsia" w:ascii="宋体" w:hAnsi="宋体" w:eastAsia="宋体" w:cs="宋体"/>
          <w:b/>
          <w:color w:val="000000"/>
          <w:kern w:val="2"/>
          <w:sz w:val="20"/>
          <w:szCs w:val="20"/>
          <w:highlight w:val="yellow"/>
          <w:lang w:val="en-US" w:eastAsia="zh-CN"/>
        </w:rPr>
        <w:t>附件上传</w:t>
      </w:r>
    </w:p>
    <w:p w14:paraId="0D7F9A93">
      <w:pPr>
        <w:pageBreakBefore w:val="0"/>
        <w:widowControl/>
        <w:kinsoku/>
        <w:wordWrap/>
        <w:overflowPunct/>
        <w:topLinePunct w:val="0"/>
        <w:autoSpaceDE/>
        <w:autoSpaceDN/>
        <w:bidi w:val="0"/>
        <w:adjustRightInd w:val="0"/>
        <w:snapToGrid w:val="0"/>
        <w:spacing w:line="336" w:lineRule="auto"/>
        <w:jc w:val="left"/>
        <w:textAlignment w:val="auto"/>
        <w:rPr>
          <w:rFonts w:hint="eastAsia" w:ascii="宋体" w:hAnsi="宋体" w:eastAsia="宋体" w:cs="宋体"/>
          <w:b/>
          <w:color w:val="000000"/>
          <w:kern w:val="2"/>
          <w:sz w:val="20"/>
          <w:szCs w:val="20"/>
          <w:lang w:eastAsia="zh-CN"/>
        </w:rPr>
      </w:pPr>
    </w:p>
    <w:p w14:paraId="0FCD5635">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color w:val="000000"/>
          <w:kern w:val="2"/>
          <w:sz w:val="20"/>
          <w:szCs w:val="20"/>
        </w:rPr>
      </w:pPr>
      <w:r>
        <w:rPr>
          <w:rFonts w:hint="eastAsia" w:ascii="宋体" w:hAnsi="宋体" w:eastAsia="宋体" w:cs="宋体"/>
          <w:b/>
          <w:color w:val="000000"/>
          <w:kern w:val="2"/>
          <w:sz w:val="20"/>
          <w:szCs w:val="20"/>
        </w:rPr>
        <w:t>附件</w:t>
      </w:r>
      <w:r>
        <w:rPr>
          <w:rFonts w:hint="eastAsia" w:ascii="宋体" w:hAnsi="宋体" w:eastAsia="宋体" w:cs="宋体"/>
          <w:b/>
          <w:color w:val="000000"/>
          <w:kern w:val="2"/>
          <w:sz w:val="20"/>
          <w:szCs w:val="20"/>
          <w:lang w:val="en-US" w:eastAsia="zh-CN"/>
        </w:rPr>
        <w:t>二</w:t>
      </w:r>
      <w:r>
        <w:rPr>
          <w:rFonts w:hint="eastAsia" w:ascii="宋体" w:hAnsi="宋体" w:eastAsia="宋体" w:cs="宋体"/>
          <w:b/>
          <w:color w:val="000000"/>
          <w:kern w:val="2"/>
          <w:sz w:val="20"/>
          <w:szCs w:val="20"/>
        </w:rPr>
        <w:t>：投标授权书</w:t>
      </w:r>
    </w:p>
    <w:p w14:paraId="38454E9D">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color w:val="000000"/>
          <w:kern w:val="2"/>
          <w:sz w:val="20"/>
          <w:szCs w:val="20"/>
          <w:lang w:eastAsia="zh-CN"/>
        </w:rPr>
      </w:pPr>
      <w:r>
        <w:rPr>
          <w:rFonts w:hint="eastAsia" w:ascii="宋体" w:hAnsi="宋体" w:eastAsia="宋体" w:cs="宋体"/>
          <w:b/>
          <w:color w:val="000000"/>
          <w:kern w:val="2"/>
          <w:sz w:val="20"/>
          <w:szCs w:val="20"/>
          <w:highlight w:val="yellow"/>
          <w:lang w:val="en-US" w:eastAsia="zh-CN"/>
        </w:rPr>
        <w:t>附件上传</w:t>
      </w:r>
    </w:p>
    <w:p w14:paraId="3C9D99E3">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color w:val="000000"/>
          <w:kern w:val="2"/>
          <w:sz w:val="20"/>
          <w:szCs w:val="20"/>
          <w:lang w:eastAsia="zh-CN"/>
        </w:rPr>
      </w:pPr>
    </w:p>
    <w:p w14:paraId="1B61CF51">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color w:val="000000"/>
          <w:kern w:val="2"/>
          <w:sz w:val="20"/>
          <w:szCs w:val="20"/>
        </w:rPr>
      </w:pPr>
      <w:r>
        <w:rPr>
          <w:rFonts w:hint="eastAsia" w:ascii="宋体" w:hAnsi="宋体" w:eastAsia="宋体" w:cs="宋体"/>
          <w:b/>
          <w:color w:val="000000"/>
          <w:kern w:val="2"/>
          <w:sz w:val="20"/>
          <w:szCs w:val="20"/>
        </w:rPr>
        <w:t>附件</w:t>
      </w:r>
      <w:r>
        <w:rPr>
          <w:rFonts w:hint="eastAsia" w:ascii="宋体" w:hAnsi="宋体" w:eastAsia="宋体" w:cs="宋体"/>
          <w:b/>
          <w:color w:val="000000"/>
          <w:kern w:val="2"/>
          <w:sz w:val="20"/>
          <w:szCs w:val="20"/>
          <w:lang w:val="en-US" w:eastAsia="zh-CN"/>
        </w:rPr>
        <w:t>三</w:t>
      </w:r>
      <w:r>
        <w:rPr>
          <w:rFonts w:hint="eastAsia" w:ascii="宋体" w:hAnsi="宋体" w:eastAsia="宋体" w:cs="宋体"/>
          <w:b/>
          <w:color w:val="000000"/>
          <w:kern w:val="2"/>
          <w:sz w:val="20"/>
          <w:szCs w:val="20"/>
        </w:rPr>
        <w:t>：</w:t>
      </w:r>
      <w:r>
        <w:rPr>
          <w:rFonts w:hint="eastAsia" w:ascii="宋体" w:hAnsi="宋体" w:eastAsia="宋体" w:cs="宋体"/>
          <w:b/>
          <w:color w:val="000000"/>
          <w:kern w:val="2"/>
          <w:sz w:val="20"/>
          <w:szCs w:val="20"/>
          <w:lang w:val="en-US" w:eastAsia="zh-CN"/>
        </w:rPr>
        <w:t>合同</w:t>
      </w:r>
    </w:p>
    <w:p w14:paraId="40E0D2B8">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color w:val="000000"/>
          <w:kern w:val="2"/>
          <w:sz w:val="20"/>
          <w:szCs w:val="20"/>
          <w:lang w:eastAsia="zh-CN"/>
        </w:rPr>
      </w:pPr>
      <w:bookmarkStart w:id="2" w:name="_MON_1751353785"/>
      <w:bookmarkEnd w:id="2"/>
      <w:r>
        <w:rPr>
          <w:rFonts w:hint="eastAsia" w:ascii="宋体" w:hAnsi="宋体" w:eastAsia="宋体" w:cs="宋体"/>
          <w:b/>
          <w:color w:val="000000"/>
          <w:kern w:val="2"/>
          <w:sz w:val="20"/>
          <w:szCs w:val="20"/>
          <w:highlight w:val="yellow"/>
          <w:lang w:val="en-US" w:eastAsia="zh-CN"/>
        </w:rPr>
        <w:t>附件上传</w:t>
      </w:r>
    </w:p>
    <w:p w14:paraId="36846B8F">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b/>
          <w:color w:val="000000"/>
          <w:kern w:val="2"/>
          <w:sz w:val="20"/>
          <w:szCs w:val="20"/>
          <w:lang w:eastAsia="zh-CN"/>
        </w:rPr>
      </w:pPr>
    </w:p>
    <w:p w14:paraId="7B8BFBEA">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default" w:ascii="宋体" w:hAnsi="宋体" w:eastAsia="宋体" w:cs="宋体"/>
          <w:b/>
          <w:color w:val="000000"/>
          <w:kern w:val="2"/>
          <w:sz w:val="20"/>
          <w:szCs w:val="20"/>
          <w:lang w:val="en-US" w:eastAsia="zh-CN"/>
        </w:rPr>
      </w:pPr>
      <w:r>
        <w:rPr>
          <w:rFonts w:hint="eastAsia" w:ascii="宋体" w:hAnsi="宋体" w:eastAsia="宋体" w:cs="宋体"/>
          <w:b/>
          <w:color w:val="000000"/>
          <w:kern w:val="2"/>
          <w:sz w:val="20"/>
          <w:szCs w:val="20"/>
        </w:rPr>
        <w:t>附件</w:t>
      </w:r>
      <w:r>
        <w:rPr>
          <w:rFonts w:hint="eastAsia" w:ascii="宋体" w:hAnsi="宋体" w:eastAsia="宋体" w:cs="宋体"/>
          <w:b/>
          <w:color w:val="000000"/>
          <w:kern w:val="2"/>
          <w:sz w:val="20"/>
          <w:szCs w:val="20"/>
          <w:lang w:val="en-US" w:eastAsia="zh-CN"/>
        </w:rPr>
        <w:t>四</w:t>
      </w:r>
      <w:r>
        <w:rPr>
          <w:rFonts w:hint="eastAsia" w:ascii="宋体" w:hAnsi="宋体" w:eastAsia="宋体" w:cs="宋体"/>
          <w:b/>
          <w:color w:val="000000"/>
          <w:kern w:val="2"/>
          <w:sz w:val="20"/>
          <w:szCs w:val="20"/>
        </w:rPr>
        <w:t>：</w:t>
      </w:r>
      <w:r>
        <w:rPr>
          <w:rFonts w:hint="eastAsia" w:ascii="宋体" w:hAnsi="宋体" w:eastAsia="宋体" w:cs="宋体"/>
          <w:b/>
          <w:color w:val="000000"/>
          <w:kern w:val="2"/>
          <w:sz w:val="20"/>
          <w:szCs w:val="20"/>
          <w:lang w:val="en-US" w:eastAsia="zh-CN"/>
        </w:rPr>
        <w:t>技术商务标准</w:t>
      </w:r>
    </w:p>
    <w:p w14:paraId="06407BB9">
      <w:pPr>
        <w:pageBreakBefore w:val="0"/>
        <w:widowControl/>
        <w:kinsoku/>
        <w:wordWrap/>
        <w:overflowPunct/>
        <w:topLinePunct w:val="0"/>
        <w:autoSpaceDE/>
        <w:autoSpaceDN/>
        <w:bidi w:val="0"/>
        <w:adjustRightInd w:val="0"/>
        <w:snapToGrid w:val="0"/>
        <w:spacing w:line="336" w:lineRule="auto"/>
        <w:ind w:left="0" w:leftChars="0" w:firstLine="402" w:firstLineChars="200"/>
        <w:jc w:val="left"/>
        <w:textAlignment w:val="auto"/>
        <w:rPr>
          <w:rFonts w:hint="eastAsia" w:ascii="宋体" w:hAnsi="宋体" w:eastAsia="宋体" w:cs="宋体"/>
          <w:color w:val="000000"/>
          <w:kern w:val="2"/>
          <w:sz w:val="20"/>
          <w:szCs w:val="20"/>
          <w:lang w:eastAsia="zh-CN"/>
        </w:rPr>
      </w:pPr>
      <w:bookmarkStart w:id="3" w:name="_MON_1751353830"/>
      <w:bookmarkEnd w:id="3"/>
      <w:r>
        <w:rPr>
          <w:rFonts w:hint="eastAsia" w:ascii="宋体" w:hAnsi="宋体" w:eastAsia="宋体" w:cs="宋体"/>
          <w:b/>
          <w:color w:val="000000"/>
          <w:kern w:val="2"/>
          <w:sz w:val="20"/>
          <w:szCs w:val="20"/>
          <w:highlight w:val="yellow"/>
          <w:lang w:val="en-US" w:eastAsia="zh-CN"/>
        </w:rPr>
        <w:t>附件上传</w:t>
      </w:r>
    </w:p>
    <w:p w14:paraId="16B7CD44">
      <w:pPr>
        <w:pageBreakBefore w:val="0"/>
        <w:widowControl/>
        <w:kinsoku/>
        <w:wordWrap/>
        <w:overflowPunct/>
        <w:topLinePunct w:val="0"/>
        <w:autoSpaceDE/>
        <w:autoSpaceDN/>
        <w:bidi w:val="0"/>
        <w:adjustRightInd w:val="0"/>
        <w:snapToGrid w:val="0"/>
        <w:spacing w:line="336" w:lineRule="auto"/>
        <w:ind w:left="0" w:leftChars="0" w:firstLine="0" w:firstLineChars="0"/>
        <w:jc w:val="left"/>
        <w:textAlignment w:val="auto"/>
        <w:rPr>
          <w:rFonts w:hint="eastAsia" w:ascii="宋体" w:hAnsi="宋体" w:eastAsia="宋体" w:cs="宋体"/>
          <w:color w:val="000000"/>
          <w:kern w:val="2"/>
          <w:sz w:val="20"/>
          <w:szCs w:val="20"/>
          <w:lang w:eastAsia="zh-CN"/>
        </w:rPr>
      </w:pPr>
    </w:p>
    <w:p w14:paraId="627114A2">
      <w:pPr>
        <w:pageBreakBefore w:val="0"/>
        <w:widowControl/>
        <w:kinsoku/>
        <w:wordWrap/>
        <w:overflowPunct/>
        <w:topLinePunct w:val="0"/>
        <w:autoSpaceDE/>
        <w:autoSpaceDN/>
        <w:bidi w:val="0"/>
        <w:adjustRightInd w:val="0"/>
        <w:snapToGrid w:val="0"/>
        <w:spacing w:line="336" w:lineRule="auto"/>
        <w:ind w:left="0" w:leftChars="0" w:firstLine="400" w:firstLineChars="200"/>
        <w:jc w:val="right"/>
        <w:textAlignment w:val="auto"/>
        <w:rPr>
          <w:rFonts w:hint="eastAsia" w:ascii="宋体" w:hAnsi="宋体" w:eastAsia="宋体" w:cs="宋体"/>
          <w:color w:val="000000"/>
          <w:kern w:val="2"/>
          <w:sz w:val="20"/>
          <w:szCs w:val="20"/>
        </w:rPr>
      </w:pPr>
      <w:r>
        <w:rPr>
          <w:rFonts w:hint="eastAsia" w:ascii="宋体" w:hAnsi="宋体" w:eastAsia="宋体" w:cs="宋体"/>
          <w:color w:val="000000"/>
          <w:kern w:val="2"/>
          <w:sz w:val="20"/>
          <w:szCs w:val="20"/>
          <w:lang w:val="en-US" w:eastAsia="zh-CN"/>
        </w:rPr>
        <w:t>跨越监察部</w:t>
      </w:r>
      <w:r>
        <w:rPr>
          <w:rFonts w:hint="eastAsia" w:ascii="宋体" w:hAnsi="宋体" w:eastAsia="宋体" w:cs="宋体"/>
          <w:color w:val="000000"/>
          <w:kern w:val="2"/>
          <w:sz w:val="20"/>
          <w:szCs w:val="20"/>
        </w:rPr>
        <w:t>专用投诉邮箱kyejcb@ky-express.com，电话：0755-23233726</w:t>
      </w:r>
      <w:r>
        <w:rPr>
          <w:rFonts w:hint="eastAsia" w:ascii="宋体" w:hAnsi="宋体" w:eastAsia="宋体" w:cs="宋体"/>
          <w:color w:val="000000"/>
          <w:kern w:val="2"/>
          <w:sz w:val="20"/>
          <w:szCs w:val="20"/>
          <w:shd w:val="clear" w:color="auto" w:fill="FFFFFF"/>
        </w:rPr>
        <w:t>；</w:t>
      </w:r>
    </w:p>
    <w:p w14:paraId="5775EC54">
      <w:pPr>
        <w:pageBreakBefore w:val="0"/>
        <w:widowControl/>
        <w:kinsoku/>
        <w:wordWrap/>
        <w:overflowPunct/>
        <w:topLinePunct w:val="0"/>
        <w:autoSpaceDE/>
        <w:autoSpaceDN/>
        <w:bidi w:val="0"/>
        <w:adjustRightInd w:val="0"/>
        <w:snapToGrid w:val="0"/>
        <w:spacing w:line="336" w:lineRule="auto"/>
        <w:ind w:left="0" w:leftChars="0" w:firstLine="400" w:firstLineChars="200"/>
        <w:jc w:val="right"/>
        <w:textAlignment w:val="auto"/>
        <w:rPr>
          <w:rFonts w:hint="eastAsia" w:ascii="宋体" w:hAnsi="宋体" w:eastAsia="宋体" w:cs="宋体"/>
          <w:color w:val="000000"/>
          <w:kern w:val="2"/>
          <w:sz w:val="20"/>
          <w:szCs w:val="20"/>
        </w:rPr>
      </w:pPr>
      <w:r>
        <w:rPr>
          <w:rFonts w:hint="eastAsia" w:ascii="宋体" w:hAnsi="宋体" w:eastAsia="宋体" w:cs="宋体"/>
          <w:color w:val="000000"/>
          <w:kern w:val="2"/>
          <w:sz w:val="20"/>
          <w:szCs w:val="20"/>
          <w:lang w:val="en-US" w:eastAsia="zh-CN"/>
        </w:rPr>
        <w:t>跨越</w:t>
      </w:r>
      <w:r>
        <w:rPr>
          <w:rFonts w:hint="eastAsia" w:ascii="宋体" w:hAnsi="宋体" w:eastAsia="宋体" w:cs="宋体"/>
          <w:color w:val="000000"/>
          <w:kern w:val="2"/>
          <w:sz w:val="20"/>
          <w:szCs w:val="20"/>
        </w:rPr>
        <w:t>监察部会对所有信息提供者及所提供的全部资料严格保密。</w:t>
      </w:r>
    </w:p>
    <w:p w14:paraId="7CF6FC00">
      <w:pPr>
        <w:pageBreakBefore w:val="0"/>
        <w:widowControl/>
        <w:kinsoku/>
        <w:wordWrap/>
        <w:overflowPunct/>
        <w:topLinePunct w:val="0"/>
        <w:autoSpaceDE/>
        <w:autoSpaceDN/>
        <w:bidi w:val="0"/>
        <w:adjustRightInd w:val="0"/>
        <w:snapToGrid w:val="0"/>
        <w:spacing w:line="336" w:lineRule="auto"/>
        <w:jc w:val="right"/>
        <w:textAlignment w:val="auto"/>
        <w:rPr>
          <w:rFonts w:hint="eastAsia" w:ascii="宋体" w:hAnsi="宋体" w:eastAsia="宋体" w:cs="宋体"/>
          <w:b/>
          <w:color w:val="000000"/>
          <w:kern w:val="2"/>
          <w:sz w:val="20"/>
          <w:szCs w:val="20"/>
        </w:rPr>
      </w:pPr>
      <w:r>
        <w:rPr>
          <w:rFonts w:hint="eastAsia" w:ascii="宋体" w:hAnsi="宋体" w:eastAsia="宋体" w:cs="宋体"/>
          <w:b/>
          <w:color w:val="000000"/>
          <w:kern w:val="2"/>
          <w:sz w:val="20"/>
          <w:szCs w:val="20"/>
        </w:rPr>
        <w:t>跨越速运集团有限公司</w:t>
      </w:r>
    </w:p>
    <w:p w14:paraId="1AE23760">
      <w:pPr>
        <w:pageBreakBefore w:val="0"/>
        <w:widowControl/>
        <w:kinsoku/>
        <w:wordWrap/>
        <w:overflowPunct/>
        <w:topLinePunct w:val="0"/>
        <w:autoSpaceDE/>
        <w:autoSpaceDN/>
        <w:bidi w:val="0"/>
        <w:adjustRightInd w:val="0"/>
        <w:snapToGrid w:val="0"/>
        <w:spacing w:line="336" w:lineRule="auto"/>
        <w:jc w:val="right"/>
        <w:textAlignment w:val="auto"/>
        <w:rPr>
          <w:rFonts w:hint="eastAsia" w:ascii="宋体" w:hAnsi="宋体" w:eastAsia="宋体"/>
          <w:sz w:val="22"/>
          <w:szCs w:val="22"/>
        </w:rPr>
      </w:pPr>
      <w:r>
        <w:rPr>
          <w:rFonts w:hint="eastAsia" w:ascii="宋体" w:hAnsi="宋体" w:eastAsia="宋体" w:cs="宋体"/>
          <w:b/>
          <w:color w:val="000000"/>
          <w:kern w:val="2"/>
          <w:sz w:val="20"/>
          <w:szCs w:val="20"/>
          <w:highlight w:val="yellow"/>
        </w:rPr>
        <w:t>2</w:t>
      </w:r>
      <w:r>
        <w:rPr>
          <w:rFonts w:hint="eastAsia" w:ascii="宋体" w:hAnsi="宋体" w:eastAsia="宋体" w:cs="宋体"/>
          <w:b/>
          <w:kern w:val="2"/>
          <w:sz w:val="20"/>
          <w:szCs w:val="20"/>
          <w:highlight w:val="yellow"/>
        </w:rPr>
        <w:t>02</w:t>
      </w:r>
      <w:r>
        <w:rPr>
          <w:rFonts w:hint="eastAsia" w:ascii="宋体" w:hAnsi="宋体" w:eastAsia="宋体" w:cs="宋体"/>
          <w:b/>
          <w:kern w:val="2"/>
          <w:sz w:val="20"/>
          <w:szCs w:val="20"/>
          <w:highlight w:val="yellow"/>
          <w:lang w:val="en-US" w:eastAsia="zh-CN"/>
        </w:rPr>
        <w:t>5</w:t>
      </w:r>
      <w:r>
        <w:rPr>
          <w:rFonts w:hint="eastAsia" w:ascii="宋体" w:hAnsi="宋体" w:eastAsia="宋体" w:cs="宋体"/>
          <w:b/>
          <w:kern w:val="2"/>
          <w:sz w:val="20"/>
          <w:szCs w:val="20"/>
          <w:highlight w:val="yellow"/>
        </w:rPr>
        <w:t>年</w:t>
      </w:r>
      <w:r>
        <w:rPr>
          <w:rFonts w:hint="eastAsia" w:ascii="宋体" w:hAnsi="宋体" w:cs="宋体"/>
          <w:b/>
          <w:kern w:val="2"/>
          <w:sz w:val="20"/>
          <w:szCs w:val="20"/>
          <w:highlight w:val="yellow"/>
          <w:lang w:val="en-US" w:eastAsia="zh-CN"/>
        </w:rPr>
        <w:t>11</w:t>
      </w:r>
      <w:r>
        <w:rPr>
          <w:rFonts w:hint="eastAsia" w:ascii="宋体" w:hAnsi="宋体" w:eastAsia="宋体" w:cs="宋体"/>
          <w:b/>
          <w:kern w:val="2"/>
          <w:sz w:val="20"/>
          <w:szCs w:val="20"/>
          <w:highlight w:val="yellow"/>
        </w:rPr>
        <w:t>月</w:t>
      </w:r>
      <w:r>
        <w:rPr>
          <w:rFonts w:hint="eastAsia" w:ascii="宋体" w:hAnsi="宋体" w:cs="宋体"/>
          <w:b/>
          <w:kern w:val="2"/>
          <w:sz w:val="20"/>
          <w:szCs w:val="20"/>
          <w:highlight w:val="yellow"/>
          <w:lang w:val="en-US" w:eastAsia="zh-CN"/>
        </w:rPr>
        <w:t>28</w:t>
      </w:r>
      <w:r>
        <w:rPr>
          <w:rFonts w:hint="eastAsia" w:ascii="宋体" w:hAnsi="宋体" w:eastAsia="宋体" w:cs="宋体"/>
          <w:b/>
          <w:kern w:val="2"/>
          <w:sz w:val="20"/>
          <w:szCs w:val="20"/>
          <w:highlight w:val="yellow"/>
        </w:rPr>
        <w:t>日</w:t>
      </w:r>
    </w:p>
    <w:sectPr>
      <w:headerReference r:id="rId3" w:type="default"/>
      <w:footerReference r:id="rId4" w:type="default"/>
      <w:pgSz w:w="11906" w:h="16838"/>
      <w:pgMar w:top="1134" w:right="1247" w:bottom="1134" w:left="124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184EF">
    <w:pPr>
      <w:pStyle w:val="6"/>
    </w:pPr>
    <w:r>
      <w:drawing>
        <wp:anchor distT="0" distB="0" distL="0" distR="0" simplePos="0" relativeHeight="251659264" behindDoc="1" locked="0" layoutInCell="1" allowOverlap="1">
          <wp:simplePos x="0" y="0"/>
          <wp:positionH relativeFrom="column">
            <wp:posOffset>-1133475</wp:posOffset>
          </wp:positionH>
          <wp:positionV relativeFrom="paragraph">
            <wp:posOffset>122555</wp:posOffset>
          </wp:positionV>
          <wp:extent cx="7540625" cy="641985"/>
          <wp:effectExtent l="0" t="0" r="3175" b="13334"/>
          <wp:wrapNone/>
          <wp:docPr id="4098" name="图片 3"/>
          <wp:cNvGraphicFramePr/>
          <a:graphic xmlns:a="http://schemas.openxmlformats.org/drawingml/2006/main">
            <a:graphicData uri="http://schemas.openxmlformats.org/drawingml/2006/picture">
              <pic:pic xmlns:pic="http://schemas.openxmlformats.org/drawingml/2006/picture">
                <pic:nvPicPr>
                  <pic:cNvPr id="4098" name="图片 3"/>
                  <pic:cNvPicPr/>
                </pic:nvPicPr>
                <pic:blipFill>
                  <a:blip r:embed="rId1" cstate="print"/>
                  <a:srcRect/>
                  <a:stretch>
                    <a:fillRect/>
                  </a:stretch>
                </pic:blipFill>
                <pic:spPr>
                  <a:xfrm>
                    <a:off x="0" y="0"/>
                    <a:ext cx="7540625" cy="641985"/>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66E8D">
    <w:pPr>
      <w:pStyle w:val="7"/>
      <w:pBdr>
        <w:bottom w:val="none" w:color="auto" w:sz="0" w:space="0"/>
      </w:pBdr>
    </w:pPr>
    <w:r>
      <w:drawing>
        <wp:anchor distT="0" distB="0" distL="0" distR="0" simplePos="0" relativeHeight="251659264" behindDoc="1" locked="0" layoutInCell="1" allowOverlap="1">
          <wp:simplePos x="0" y="0"/>
          <wp:positionH relativeFrom="page">
            <wp:posOffset>2540</wp:posOffset>
          </wp:positionH>
          <wp:positionV relativeFrom="paragraph">
            <wp:posOffset>-534670</wp:posOffset>
          </wp:positionV>
          <wp:extent cx="7539990" cy="674370"/>
          <wp:effectExtent l="0" t="0" r="3810" b="11430"/>
          <wp:wrapNone/>
          <wp:docPr id="4097" name="图片 2"/>
          <wp:cNvGraphicFramePr/>
          <a:graphic xmlns:a="http://schemas.openxmlformats.org/drawingml/2006/main">
            <a:graphicData uri="http://schemas.openxmlformats.org/drawingml/2006/picture">
              <pic:pic xmlns:pic="http://schemas.openxmlformats.org/drawingml/2006/picture">
                <pic:nvPicPr>
                  <pic:cNvPr id="4097" name="图片 2"/>
                  <pic:cNvPicPr/>
                </pic:nvPicPr>
                <pic:blipFill>
                  <a:blip r:embed="rId1" cstate="print"/>
                  <a:srcRect/>
                  <a:stretch>
                    <a:fillRect/>
                  </a:stretch>
                </pic:blipFill>
                <pic:spPr>
                  <a:xfrm>
                    <a:off x="0" y="0"/>
                    <a:ext cx="7539990" cy="67437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lvlText w:val="(%1)"/>
      <w:lvlJc w:val="left"/>
      <w:pPr>
        <w:ind w:left="905" w:hanging="425"/>
      </w:pPr>
      <w:rPr>
        <w:rFonts w:hint="default"/>
      </w:rPr>
    </w:lvl>
  </w:abstractNum>
  <w:abstractNum w:abstractNumId="1">
    <w:nsid w:val="00000001"/>
    <w:multiLevelType w:val="singleLevel"/>
    <w:tmpl w:val="00000001"/>
    <w:lvl w:ilvl="0" w:tentative="0">
      <w:start w:val="4"/>
      <w:numFmt w:val="decimal"/>
      <w:suff w:val="space"/>
      <w:lvlText w:val="%1."/>
      <w:lvlJc w:val="left"/>
      <w:pPr>
        <w:ind w:left="300" w:leftChars="0" w:firstLine="0" w:firstLineChars="0"/>
      </w:pPr>
    </w:lvl>
  </w:abstractNum>
  <w:abstractNum w:abstractNumId="2">
    <w:nsid w:val="00000002"/>
    <w:multiLevelType w:val="singleLevel"/>
    <w:tmpl w:val="00000002"/>
    <w:lvl w:ilvl="0" w:tentative="0">
      <w:start w:val="1"/>
      <w:numFmt w:val="decimalEnclosedCircleChinese"/>
      <w:suff w:val="nothing"/>
      <w:lvlText w:val="%1　"/>
      <w:lvlJc w:val="left"/>
      <w:pPr>
        <w:ind w:left="0" w:firstLine="400"/>
      </w:pPr>
      <w:rPr>
        <w:rFonts w:hint="eastAsia"/>
      </w:rPr>
    </w:lvl>
  </w:abstractNum>
  <w:abstractNum w:abstractNumId="3">
    <w:nsid w:val="00000003"/>
    <w:multiLevelType w:val="multilevel"/>
    <w:tmpl w:val="00000003"/>
    <w:lvl w:ilvl="0" w:tentative="0">
      <w:start w:val="1"/>
      <w:numFmt w:val="decimal"/>
      <w:suff w:val="noth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4"/>
    <w:multiLevelType w:val="singleLevel"/>
    <w:tmpl w:val="00000004"/>
    <w:lvl w:ilvl="0" w:tentative="0">
      <w:start w:val="2"/>
      <w:numFmt w:val="decimal"/>
      <w:suff w:val="nothing"/>
      <w:lvlText w:val="（%1）"/>
      <w:lvlJc w:val="left"/>
      <w:pPr>
        <w:ind w:left="78"/>
      </w:pPr>
    </w:lvl>
  </w:abstractNum>
  <w:abstractNum w:abstractNumId="5">
    <w:nsid w:val="00000005"/>
    <w:multiLevelType w:val="singleLevel"/>
    <w:tmpl w:val="00000005"/>
    <w:lvl w:ilvl="0" w:tentative="0">
      <w:start w:val="1"/>
      <w:numFmt w:val="decimal"/>
      <w:lvlText w:val="(%1)"/>
      <w:lvlJc w:val="left"/>
      <w:pPr>
        <w:ind w:left="905" w:hanging="425"/>
      </w:pPr>
      <w:rPr>
        <w:rFonts w:hint="default"/>
      </w:rPr>
    </w:lvl>
  </w:abstractNum>
  <w:abstractNum w:abstractNumId="6">
    <w:nsid w:val="00000006"/>
    <w:multiLevelType w:val="singleLevel"/>
    <w:tmpl w:val="00000006"/>
    <w:lvl w:ilvl="0" w:tentative="0">
      <w:start w:val="1"/>
      <w:numFmt w:val="decimalEnclosedCircleChinese"/>
      <w:suff w:val="nothing"/>
      <w:lvlText w:val="%1　"/>
      <w:lvlJc w:val="left"/>
      <w:pPr>
        <w:ind w:left="0" w:firstLine="400"/>
      </w:pPr>
      <w:rPr>
        <w:rFonts w:hint="eastAsia"/>
      </w:rPr>
    </w:lvl>
  </w:abstractNum>
  <w:abstractNum w:abstractNumId="7">
    <w:nsid w:val="00000007"/>
    <w:multiLevelType w:val="multilevel"/>
    <w:tmpl w:val="00000007"/>
    <w:lvl w:ilvl="0" w:tentative="0">
      <w:start w:val="1"/>
      <w:numFmt w:val="decimal"/>
      <w:suff w:val="noth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08"/>
    <w:multiLevelType w:val="singleLevel"/>
    <w:tmpl w:val="00000008"/>
    <w:lvl w:ilvl="0" w:tentative="0">
      <w:start w:val="1"/>
      <w:numFmt w:val="decimalEnclosedCircleChinese"/>
      <w:suff w:val="nothing"/>
      <w:lvlText w:val="%1　"/>
      <w:lvlJc w:val="left"/>
      <w:pPr>
        <w:ind w:left="0" w:firstLine="400"/>
      </w:pPr>
      <w:rPr>
        <w:rFonts w:hint="eastAsia"/>
      </w:rPr>
    </w:lvl>
  </w:abstractNum>
  <w:num w:numId="1">
    <w:abstractNumId w:val="3"/>
  </w:num>
  <w:num w:numId="2">
    <w:abstractNumId w:val="2"/>
  </w:num>
  <w:num w:numId="3">
    <w:abstractNumId w:val="7"/>
  </w:num>
  <w:num w:numId="4">
    <w:abstractNumId w:val="6"/>
  </w:num>
  <w:num w:numId="5">
    <w:abstractNumId w:val="4"/>
  </w:num>
  <w:num w:numId="6">
    <w:abstractNumId w:val="1"/>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5E96413"/>
    <w:rsid w:val="1D404D03"/>
    <w:rsid w:val="1E5C70D1"/>
    <w:rsid w:val="27087F0E"/>
    <w:rsid w:val="27A26D20"/>
    <w:rsid w:val="29592A82"/>
    <w:rsid w:val="31582332"/>
    <w:rsid w:val="3D483249"/>
    <w:rsid w:val="525E168F"/>
    <w:rsid w:val="57FE7E5D"/>
    <w:rsid w:val="640E0165"/>
    <w:rsid w:val="6E402A5C"/>
    <w:rsid w:val="70C527C7"/>
    <w:rsid w:val="733F26EE"/>
    <w:rsid w:val="781D5167"/>
    <w:rsid w:val="79D609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4"/>
      <w:szCs w:val="24"/>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9"/>
    <w:pPr>
      <w:keepNext/>
      <w:keepLines/>
      <w:spacing w:before="260" w:after="260" w:line="416" w:lineRule="auto"/>
      <w:outlineLvl w:val="1"/>
    </w:pPr>
    <w:rPr>
      <w:rFonts w:ascii="Calibri Light" w:hAnsi="Calibri Light" w:eastAsia="宋体" w:cs="宋体"/>
      <w:b/>
      <w:bCs/>
      <w:sz w:val="32"/>
      <w:szCs w:val="32"/>
    </w:rPr>
  </w:style>
  <w:style w:type="paragraph" w:styleId="4">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12">
    <w:name w:val="Default Paragraph Font"/>
    <w:qFormat/>
    <w:uiPriority w:val="1"/>
  </w:style>
  <w:style w:type="table" w:default="1" w:styleId="11">
    <w:name w:val="Normal Table"/>
    <w:qFormat/>
    <w:uiPriority w:val="99"/>
    <w:tblPr>
      <w:tblCellMar>
        <w:top w:w="0" w:type="dxa"/>
        <w:left w:w="108" w:type="dxa"/>
        <w:bottom w:w="0" w:type="dxa"/>
        <w:right w:w="108" w:type="dxa"/>
      </w:tblCellMar>
    </w:tblPr>
  </w:style>
  <w:style w:type="paragraph" w:styleId="5">
    <w:name w:val="Balloon Text"/>
    <w:basedOn w:val="1"/>
    <w:link w:val="16"/>
    <w:qFormat/>
    <w:uiPriority w:val="0"/>
    <w:rPr>
      <w:sz w:val="18"/>
      <w:szCs w:val="18"/>
    </w:rPr>
  </w:style>
  <w:style w:type="paragraph" w:styleId="6">
    <w:name w:val="footer"/>
    <w:basedOn w:val="1"/>
    <w:link w:val="18"/>
    <w:qFormat/>
    <w:uiPriority w:val="0"/>
    <w:pPr>
      <w:tabs>
        <w:tab w:val="center" w:pos="4153"/>
        <w:tab w:val="right" w:pos="8306"/>
      </w:tabs>
      <w:snapToGrid w:val="0"/>
      <w:jc w:val="left"/>
    </w:pPr>
    <w:rPr>
      <w:sz w:val="18"/>
      <w:szCs w:val="18"/>
    </w:rPr>
  </w:style>
  <w:style w:type="paragraph" w:styleId="7">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22"/>
    <w:qFormat/>
    <w:uiPriority w:val="0"/>
    <w:pPr>
      <w:spacing w:before="240" w:after="60" w:line="312" w:lineRule="auto"/>
      <w:jc w:val="center"/>
      <w:outlineLvl w:val="1"/>
    </w:pPr>
    <w:rPr>
      <w:b/>
      <w:bCs/>
      <w:kern w:val="28"/>
      <w:sz w:val="32"/>
      <w:szCs w:val="32"/>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link w:val="21"/>
    <w:qFormat/>
    <w:uiPriority w:val="0"/>
    <w:pPr>
      <w:spacing w:before="240" w:after="60"/>
      <w:jc w:val="center"/>
      <w:outlineLvl w:val="0"/>
    </w:pPr>
    <w:rPr>
      <w:rFonts w:ascii="Calibri Light" w:hAnsi="Calibri Light" w:eastAsia="宋体" w:cs="宋体"/>
      <w:b/>
      <w:bCs/>
      <w:sz w:val="32"/>
      <w:szCs w:val="32"/>
    </w:rPr>
  </w:style>
  <w:style w:type="character" w:styleId="13">
    <w:name w:val="page number"/>
    <w:basedOn w:val="12"/>
    <w:qFormat/>
    <w:uiPriority w:val="99"/>
  </w:style>
  <w:style w:type="character" w:styleId="14">
    <w:name w:val="Hyperlink"/>
    <w:basedOn w:val="12"/>
    <w:qFormat/>
    <w:uiPriority w:val="99"/>
    <w:rPr>
      <w:color w:val="0563C1"/>
      <w:u w:val="single"/>
    </w:rPr>
  </w:style>
  <w:style w:type="character" w:styleId="15">
    <w:name w:val="annotation reference"/>
    <w:basedOn w:val="12"/>
    <w:qFormat/>
    <w:uiPriority w:val="99"/>
    <w:rPr>
      <w:sz w:val="21"/>
      <w:szCs w:val="21"/>
    </w:rPr>
  </w:style>
  <w:style w:type="character" w:customStyle="1" w:styleId="16">
    <w:name w:val="批注框文本 字符"/>
    <w:basedOn w:val="12"/>
    <w:link w:val="5"/>
    <w:qFormat/>
    <w:uiPriority w:val="0"/>
    <w:rPr>
      <w:rFonts w:ascii="Calibri" w:hAnsi="Calibri" w:eastAsia="宋体" w:cs="宋体"/>
      <w:kern w:val="2"/>
      <w:sz w:val="18"/>
      <w:szCs w:val="18"/>
    </w:rPr>
  </w:style>
  <w:style w:type="character" w:customStyle="1" w:styleId="17">
    <w:name w:val="页眉 字符"/>
    <w:basedOn w:val="12"/>
    <w:link w:val="7"/>
    <w:qFormat/>
    <w:uiPriority w:val="0"/>
    <w:rPr>
      <w:rFonts w:ascii="Calibri" w:hAnsi="Calibri" w:eastAsia="宋体" w:cs="宋体"/>
      <w:kern w:val="2"/>
      <w:sz w:val="18"/>
      <w:szCs w:val="18"/>
    </w:rPr>
  </w:style>
  <w:style w:type="character" w:customStyle="1" w:styleId="18">
    <w:name w:val="页脚 字符"/>
    <w:basedOn w:val="12"/>
    <w:link w:val="6"/>
    <w:qFormat/>
    <w:uiPriority w:val="0"/>
    <w:rPr>
      <w:rFonts w:ascii="Calibri" w:hAnsi="Calibri" w:eastAsia="宋体" w:cs="宋体"/>
      <w:kern w:val="2"/>
      <w:sz w:val="18"/>
      <w:szCs w:val="18"/>
    </w:rPr>
  </w:style>
  <w:style w:type="paragraph" w:customStyle="1" w:styleId="19">
    <w:name w:val="p0"/>
    <w:basedOn w:val="1"/>
    <w:qFormat/>
    <w:uiPriority w:val="0"/>
    <w:pPr>
      <w:widowControl/>
    </w:pPr>
    <w:rPr>
      <w:rFonts w:ascii="Times New Roman" w:hAnsi="Times New Roman" w:eastAsia="宋体" w:cs="Times New Roman"/>
      <w:kern w:val="0"/>
      <w:szCs w:val="21"/>
    </w:rPr>
  </w:style>
  <w:style w:type="character" w:customStyle="1" w:styleId="20">
    <w:name w:val="标题 1 字符"/>
    <w:basedOn w:val="12"/>
    <w:link w:val="2"/>
    <w:qFormat/>
    <w:uiPriority w:val="0"/>
    <w:rPr>
      <w:rFonts w:ascii="Calibri" w:hAnsi="Calibri" w:eastAsia="宋体" w:cs="宋体"/>
      <w:b/>
      <w:bCs/>
      <w:kern w:val="44"/>
      <w:sz w:val="44"/>
      <w:szCs w:val="44"/>
    </w:rPr>
  </w:style>
  <w:style w:type="character" w:customStyle="1" w:styleId="21">
    <w:name w:val="标题 字符"/>
    <w:basedOn w:val="12"/>
    <w:link w:val="10"/>
    <w:qFormat/>
    <w:uiPriority w:val="0"/>
    <w:rPr>
      <w:rFonts w:ascii="Calibri Light" w:hAnsi="Calibri Light" w:eastAsia="宋体" w:cs="宋体"/>
      <w:b/>
      <w:bCs/>
      <w:kern w:val="2"/>
      <w:sz w:val="32"/>
      <w:szCs w:val="32"/>
    </w:rPr>
  </w:style>
  <w:style w:type="character" w:customStyle="1" w:styleId="22">
    <w:name w:val="副标题 字符"/>
    <w:basedOn w:val="12"/>
    <w:link w:val="8"/>
    <w:qFormat/>
    <w:uiPriority w:val="0"/>
    <w:rPr>
      <w:rFonts w:ascii="Calibri" w:hAnsi="Calibri" w:eastAsia="宋体" w:cs="宋体"/>
      <w:b/>
      <w:bCs/>
      <w:kern w:val="28"/>
      <w:sz w:val="32"/>
      <w:szCs w:val="32"/>
    </w:rPr>
  </w:style>
  <w:style w:type="paragraph" w:styleId="23">
    <w:name w:val="List Paragraph"/>
    <w:basedOn w:val="1"/>
    <w:qFormat/>
    <w:uiPriority w:val="0"/>
    <w:pPr>
      <w:ind w:firstLine="420" w:firstLineChars="200"/>
    </w:pPr>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4887</Words>
  <Characters>5235</Characters>
  <Paragraphs>131</Paragraphs>
  <TotalTime>198</TotalTime>
  <ScaleCrop>false</ScaleCrop>
  <LinksUpToDate>false</LinksUpToDate>
  <CharactersWithSpaces>5316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2023-08-01T09:21:00Z</dcterms:created>
  <dc:creator>KYE</dc:creator>
  <cp:lastModifiedBy>跨越-周孝苗18902487672</cp:lastModifiedBy>
  <dcterms:modified xsi:type="dcterms:W3CDTF">2025-11-28T12:11:31Z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0D14D9CD07C1450F8936D7D0228DCFF5_13</vt:lpwstr>
  </property>
  <property fmtid="{D5CDD505-2E9C-101B-9397-08002B2CF9AE}" pid="4" name="KSOTemplateDocerSaveRecord">
    <vt:lpwstr>eyJoZGlkIjoiOGU2NzY4YmRhNTk1NGFkMjU2NDkwNjI1OTNjNTFhYWEiLCJ1c2VySWQiOiIxMjU1OTI4Mjk5In0=</vt:lpwstr>
  </property>
</Properties>
</file>