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0C8CE">
      <w:pPr>
        <w:pStyle w:val="2"/>
        <w:spacing w:before="102" w:line="195" w:lineRule="auto"/>
        <w:jc w:val="center"/>
        <w:outlineLvl w:val="0"/>
        <w:rPr>
          <w:sz w:val="32"/>
          <w:szCs w:val="32"/>
          <w:highlight w:val="none"/>
          <w:lang w:eastAsia="zh-CN"/>
        </w:rPr>
      </w:pPr>
      <w:r>
        <w:rPr>
          <w:rFonts w:hint="eastAsia" w:ascii="宋体" w:hAnsi="宋体" w:eastAsia="宋体" w:cs="宋体"/>
          <w:b/>
          <w:bCs/>
          <w:snapToGrid/>
          <w:kern w:val="28"/>
          <w:sz w:val="32"/>
          <w:szCs w:val="32"/>
          <w:highlight w:val="none"/>
          <w:lang w:val="en-US" w:eastAsia="zh-CN"/>
        </w:rPr>
        <w:t>手动液压叉车</w:t>
      </w:r>
      <w:r>
        <w:rPr>
          <w:rFonts w:hint="eastAsia" w:ascii="宋体" w:hAnsi="宋体" w:eastAsia="宋体" w:cs="宋体"/>
          <w:b/>
          <w:bCs/>
          <w:snapToGrid/>
          <w:kern w:val="28"/>
          <w:sz w:val="32"/>
          <w:szCs w:val="32"/>
          <w:highlight w:val="none"/>
          <w:lang w:eastAsia="zh-CN"/>
        </w:rPr>
        <w:t>采购框架合同</w:t>
      </w:r>
    </w:p>
    <w:p w14:paraId="5517FDFE">
      <w:pPr>
        <w:pStyle w:val="2"/>
        <w:wordWrap w:val="0"/>
        <w:spacing w:before="232" w:line="199" w:lineRule="auto"/>
        <w:jc w:val="right"/>
        <w:rPr>
          <w:rFonts w:hint="default"/>
          <w:sz w:val="22"/>
          <w:szCs w:val="22"/>
          <w:highlight w:val="none"/>
          <w:lang w:val="en-US" w:eastAsia="zh-CN"/>
        </w:rPr>
      </w:pPr>
      <w:r>
        <w:rPr>
          <w:sz w:val="22"/>
          <w:szCs w:val="22"/>
          <w:highlight w:val="none"/>
          <w:lang w:eastAsia="zh-CN"/>
        </w:rPr>
        <w:t>合同编码：</w:t>
      </w:r>
      <w:r>
        <w:rPr>
          <w:rFonts w:hint="eastAsia"/>
          <w:sz w:val="22"/>
          <w:szCs w:val="22"/>
          <w:highlight w:val="none"/>
          <w:lang w:val="en-US" w:eastAsia="zh-CN"/>
        </w:rPr>
        <w:t xml:space="preserve">              </w:t>
      </w:r>
      <w:r>
        <w:rPr>
          <w:sz w:val="22"/>
          <w:szCs w:val="22"/>
          <w:highlight w:val="none"/>
          <w:lang w:eastAsia="zh-CN"/>
        </w:rPr>
        <w:t>签订日期：</w:t>
      </w:r>
      <w:r>
        <w:rPr>
          <w:rFonts w:hint="eastAsia"/>
          <w:sz w:val="22"/>
          <w:szCs w:val="22"/>
          <w:highlight w:val="none"/>
          <w:lang w:val="en-US" w:eastAsia="zh-CN"/>
        </w:rPr>
        <w:t xml:space="preserve">     年  月  日  </w:t>
      </w:r>
    </w:p>
    <w:p w14:paraId="18A4AE62">
      <w:pPr>
        <w:spacing w:line="309" w:lineRule="auto"/>
        <w:rPr>
          <w:rFonts w:ascii="华文楷体" w:hAnsi="华文楷体" w:eastAsia="华文楷体" w:cs="华文楷体"/>
          <w:highlight w:val="none"/>
          <w:lang w:eastAsia="zh-CN"/>
        </w:rPr>
      </w:pPr>
    </w:p>
    <w:p w14:paraId="17D66AA0">
      <w:pPr>
        <w:pStyle w:val="2"/>
        <w:spacing w:before="73" w:line="319" w:lineRule="auto"/>
        <w:ind w:left="39"/>
        <w:rPr>
          <w:rFonts w:hint="default"/>
          <w:sz w:val="21"/>
          <w:szCs w:val="21"/>
          <w:highlight w:val="none"/>
          <w:lang w:val="en-US" w:eastAsia="zh-CN"/>
        </w:rPr>
      </w:pPr>
      <w:r>
        <w:rPr>
          <w:rStyle w:val="23"/>
          <w:rFonts w:hint="eastAsia"/>
          <w:sz w:val="21"/>
          <w:szCs w:val="21"/>
          <w:highlight w:val="none"/>
          <w:lang w:eastAsia="zh-CN"/>
        </w:rPr>
        <w:t>甲方（需方）：</w:t>
      </w:r>
      <w:r>
        <w:rPr>
          <w:rStyle w:val="23"/>
          <w:rFonts w:hint="eastAsia"/>
          <w:sz w:val="21"/>
          <w:szCs w:val="21"/>
          <w:highlight w:val="none"/>
          <w:lang w:val="en-US" w:eastAsia="zh-CN"/>
        </w:rPr>
        <w:t xml:space="preserve">                              </w:t>
      </w:r>
    </w:p>
    <w:p w14:paraId="28CAD6F5">
      <w:pPr>
        <w:pStyle w:val="2"/>
        <w:spacing w:line="202" w:lineRule="auto"/>
        <w:ind w:left="25"/>
        <w:rPr>
          <w:rFonts w:hint="default"/>
          <w:sz w:val="21"/>
          <w:szCs w:val="21"/>
          <w:highlight w:val="none"/>
          <w:lang w:val="en-US" w:eastAsia="zh-CN"/>
        </w:rPr>
      </w:pPr>
      <w:r>
        <w:rPr>
          <w:rFonts w:hint="eastAsia"/>
          <w:spacing w:val="2"/>
          <w:sz w:val="21"/>
          <w:szCs w:val="21"/>
          <w:highlight w:val="none"/>
          <w:lang w:eastAsia="zh-CN"/>
        </w:rPr>
        <w:t>统一社会信用代码：</w:t>
      </w:r>
      <w:r>
        <w:rPr>
          <w:rFonts w:hint="eastAsia"/>
          <w:spacing w:val="2"/>
          <w:sz w:val="21"/>
          <w:szCs w:val="21"/>
          <w:highlight w:val="none"/>
          <w:lang w:val="en-US" w:eastAsia="zh-CN"/>
        </w:rPr>
        <w:t xml:space="preserve">                          </w:t>
      </w:r>
    </w:p>
    <w:p w14:paraId="0ED6E96F">
      <w:pPr>
        <w:pStyle w:val="2"/>
        <w:spacing w:before="35" w:line="244" w:lineRule="auto"/>
        <w:ind w:left="18"/>
        <w:rPr>
          <w:rFonts w:hint="default" w:eastAsia="华文楷体"/>
          <w:sz w:val="21"/>
          <w:szCs w:val="21"/>
          <w:highlight w:val="none"/>
          <w:lang w:val="en-US" w:eastAsia="zh-CN"/>
        </w:rPr>
      </w:pPr>
      <w:r>
        <w:rPr>
          <w:rFonts w:hint="eastAsia"/>
          <w:spacing w:val="2"/>
          <w:sz w:val="21"/>
          <w:szCs w:val="21"/>
          <w:highlight w:val="none"/>
        </w:rPr>
        <w:t>业务联系人：</w:t>
      </w:r>
      <w:r>
        <w:rPr>
          <w:rFonts w:hint="eastAsia"/>
          <w:spacing w:val="2"/>
          <w:sz w:val="21"/>
          <w:szCs w:val="21"/>
          <w:highlight w:val="none"/>
          <w:lang w:val="en-US" w:eastAsia="zh-CN"/>
        </w:rPr>
        <w:t xml:space="preserve">         </w:t>
      </w:r>
      <w:r>
        <w:rPr>
          <w:rFonts w:hint="eastAsia"/>
          <w:spacing w:val="2"/>
          <w:sz w:val="21"/>
          <w:szCs w:val="21"/>
          <w:highlight w:val="none"/>
        </w:rPr>
        <w:t>联系电话：</w:t>
      </w:r>
      <w:r>
        <w:rPr>
          <w:rFonts w:hint="eastAsia"/>
          <w:spacing w:val="2"/>
          <w:sz w:val="21"/>
          <w:szCs w:val="21"/>
          <w:highlight w:val="none"/>
          <w:lang w:val="en-US" w:eastAsia="zh-CN"/>
        </w:rPr>
        <w:t xml:space="preserve">                 </w:t>
      </w:r>
      <w:r>
        <w:rPr>
          <w:rFonts w:hint="eastAsia"/>
          <w:spacing w:val="1"/>
          <w:sz w:val="21"/>
          <w:szCs w:val="21"/>
          <w:highlight w:val="none"/>
        </w:rPr>
        <w:t>邮箱：</w:t>
      </w:r>
      <w:r>
        <w:rPr>
          <w:rFonts w:hint="eastAsia"/>
          <w:spacing w:val="1"/>
          <w:sz w:val="21"/>
          <w:szCs w:val="21"/>
          <w:highlight w:val="none"/>
          <w:lang w:val="en-US" w:eastAsia="zh-CN"/>
        </w:rPr>
        <w:t xml:space="preserve"> </w:t>
      </w:r>
      <w:r>
        <w:rPr>
          <w:rFonts w:hint="eastAsia"/>
          <w:spacing w:val="4"/>
          <w:sz w:val="21"/>
          <w:szCs w:val="21"/>
          <w:highlight w:val="none"/>
          <w:lang w:val="en-US" w:eastAsia="zh-CN"/>
        </w:rPr>
        <w:t xml:space="preserve">                                 </w:t>
      </w:r>
    </w:p>
    <w:p w14:paraId="75F8368B">
      <w:pPr>
        <w:pStyle w:val="2"/>
        <w:spacing w:before="66" w:line="259" w:lineRule="auto"/>
        <w:ind w:left="13"/>
        <w:rPr>
          <w:rFonts w:hint="default"/>
          <w:sz w:val="21"/>
          <w:szCs w:val="21"/>
          <w:highlight w:val="none"/>
          <w:lang w:val="en-US" w:eastAsia="zh-CN"/>
        </w:rPr>
      </w:pPr>
      <w:r>
        <w:rPr>
          <w:rFonts w:hint="eastAsia"/>
          <w:spacing w:val="1"/>
          <w:sz w:val="21"/>
          <w:szCs w:val="21"/>
          <w:highlight w:val="none"/>
          <w:lang w:eastAsia="zh-CN"/>
        </w:rPr>
        <w:t>联系地址：</w:t>
      </w:r>
      <w:r>
        <w:rPr>
          <w:rFonts w:hint="eastAsia"/>
          <w:spacing w:val="1"/>
          <w:sz w:val="21"/>
          <w:szCs w:val="21"/>
          <w:highlight w:val="none"/>
          <w:lang w:val="en-US" w:eastAsia="zh-CN"/>
        </w:rPr>
        <w:t xml:space="preserve">                              </w:t>
      </w:r>
    </w:p>
    <w:p w14:paraId="6D034401">
      <w:pPr>
        <w:pStyle w:val="2"/>
        <w:spacing w:line="204" w:lineRule="auto"/>
        <w:ind w:left="39"/>
        <w:rPr>
          <w:sz w:val="21"/>
          <w:szCs w:val="21"/>
          <w:highlight w:val="none"/>
          <w:lang w:eastAsia="zh-CN"/>
        </w:rPr>
      </w:pPr>
      <w:r>
        <w:rPr>
          <w:rFonts w:hint="eastAsia"/>
          <w:spacing w:val="4"/>
          <w:sz w:val="21"/>
          <w:szCs w:val="21"/>
          <w:highlight w:val="none"/>
          <w:lang w:eastAsia="zh-CN"/>
        </w:rPr>
        <w:t>甲方指定账户信息：</w:t>
      </w:r>
    </w:p>
    <w:p w14:paraId="0240247C">
      <w:pPr>
        <w:pStyle w:val="2"/>
        <w:spacing w:before="92" w:line="205" w:lineRule="auto"/>
        <w:ind w:left="20"/>
        <w:rPr>
          <w:rFonts w:hint="default"/>
          <w:sz w:val="21"/>
          <w:szCs w:val="21"/>
          <w:highlight w:val="none"/>
          <w:u w:val="single"/>
          <w:lang w:val="en-US" w:eastAsia="zh-CN"/>
        </w:rPr>
      </w:pPr>
      <w:r>
        <w:rPr>
          <w:rFonts w:hint="eastAsia"/>
          <w:spacing w:val="4"/>
          <w:sz w:val="21"/>
          <w:szCs w:val="21"/>
          <w:highlight w:val="none"/>
          <w:lang w:eastAsia="zh-CN"/>
        </w:rPr>
        <w:t>户名：</w:t>
      </w:r>
      <w:r>
        <w:rPr>
          <w:rFonts w:hint="eastAsia"/>
          <w:spacing w:val="4"/>
          <w:sz w:val="21"/>
          <w:szCs w:val="21"/>
          <w:highlight w:val="none"/>
          <w:lang w:val="en-US" w:eastAsia="zh-CN"/>
        </w:rPr>
        <w:t xml:space="preserve">                    </w:t>
      </w:r>
      <w:r>
        <w:rPr>
          <w:rFonts w:hint="eastAsia"/>
          <w:spacing w:val="4"/>
          <w:sz w:val="21"/>
          <w:szCs w:val="21"/>
          <w:highlight w:val="none"/>
          <w:lang w:eastAsia="zh-CN"/>
        </w:rPr>
        <w:t>开户行：</w:t>
      </w:r>
      <w:r>
        <w:rPr>
          <w:rFonts w:hint="eastAsia"/>
          <w:spacing w:val="4"/>
          <w:sz w:val="21"/>
          <w:szCs w:val="21"/>
          <w:highlight w:val="none"/>
          <w:lang w:val="en-US" w:eastAsia="zh-CN"/>
        </w:rPr>
        <w:t xml:space="preserve">                                </w:t>
      </w:r>
      <w:r>
        <w:rPr>
          <w:rFonts w:hint="eastAsia"/>
          <w:spacing w:val="3"/>
          <w:sz w:val="21"/>
          <w:szCs w:val="21"/>
          <w:highlight w:val="none"/>
          <w:lang w:eastAsia="zh-CN"/>
        </w:rPr>
        <w:t>账号：</w:t>
      </w:r>
      <w:r>
        <w:rPr>
          <w:rFonts w:hint="eastAsia"/>
          <w:spacing w:val="3"/>
          <w:sz w:val="21"/>
          <w:szCs w:val="21"/>
          <w:highlight w:val="none"/>
          <w:lang w:val="en-US" w:eastAsia="zh-CN"/>
        </w:rPr>
        <w:t xml:space="preserve">                              </w:t>
      </w:r>
    </w:p>
    <w:p w14:paraId="349280FD">
      <w:pPr>
        <w:spacing w:line="282" w:lineRule="auto"/>
        <w:rPr>
          <w:rFonts w:ascii="华文楷体" w:hAnsi="华文楷体" w:eastAsia="华文楷体" w:cs="华文楷体"/>
          <w:highlight w:val="none"/>
          <w:lang w:eastAsia="zh-CN"/>
        </w:rPr>
      </w:pPr>
    </w:p>
    <w:p w14:paraId="5F5DDB91">
      <w:pPr>
        <w:pStyle w:val="2"/>
        <w:spacing w:before="74" w:line="281" w:lineRule="auto"/>
        <w:ind w:left="44"/>
        <w:rPr>
          <w:rFonts w:hint="default"/>
          <w:sz w:val="21"/>
          <w:szCs w:val="21"/>
          <w:highlight w:val="none"/>
          <w:lang w:val="en-US" w:eastAsia="zh-CN"/>
        </w:rPr>
      </w:pPr>
      <w:r>
        <w:rPr>
          <w:rStyle w:val="23"/>
          <w:rFonts w:hint="eastAsia"/>
          <w:sz w:val="21"/>
          <w:szCs w:val="21"/>
          <w:highlight w:val="none"/>
          <w:lang w:eastAsia="zh-CN"/>
        </w:rPr>
        <w:t>乙方（供方）：</w:t>
      </w:r>
      <w:r>
        <w:rPr>
          <w:rStyle w:val="23"/>
          <w:rFonts w:hint="eastAsia"/>
          <w:sz w:val="21"/>
          <w:szCs w:val="21"/>
          <w:highlight w:val="none"/>
          <w:lang w:val="en-US" w:eastAsia="zh-CN"/>
        </w:rPr>
        <w:t xml:space="preserve">                                         </w:t>
      </w:r>
    </w:p>
    <w:p w14:paraId="2621B76A">
      <w:pPr>
        <w:pStyle w:val="2"/>
        <w:spacing w:before="1" w:line="269" w:lineRule="auto"/>
        <w:ind w:left="25"/>
        <w:rPr>
          <w:rFonts w:hint="default"/>
          <w:sz w:val="21"/>
          <w:szCs w:val="21"/>
          <w:highlight w:val="none"/>
          <w:u w:val="single"/>
          <w:lang w:val="en-US" w:eastAsia="zh-CN"/>
        </w:rPr>
      </w:pPr>
      <w:r>
        <w:rPr>
          <w:rFonts w:hint="eastAsia"/>
          <w:spacing w:val="2"/>
          <w:sz w:val="21"/>
          <w:szCs w:val="21"/>
          <w:highlight w:val="none"/>
          <w:lang w:eastAsia="zh-CN"/>
        </w:rPr>
        <w:t>统一社会信用代码/身份证号：</w:t>
      </w:r>
      <w:r>
        <w:rPr>
          <w:rFonts w:hint="eastAsia"/>
          <w:spacing w:val="2"/>
          <w:sz w:val="21"/>
          <w:szCs w:val="21"/>
          <w:highlight w:val="none"/>
          <w:lang w:val="en-US" w:eastAsia="zh-CN"/>
        </w:rPr>
        <w:t xml:space="preserve">                            </w:t>
      </w:r>
    </w:p>
    <w:p w14:paraId="34274385">
      <w:pPr>
        <w:pStyle w:val="2"/>
        <w:spacing w:before="13" w:line="252" w:lineRule="auto"/>
        <w:ind w:left="18"/>
        <w:rPr>
          <w:rFonts w:hint="default"/>
          <w:sz w:val="21"/>
          <w:szCs w:val="21"/>
          <w:highlight w:val="none"/>
          <w:lang w:val="en-US" w:eastAsia="zh-CN"/>
        </w:rPr>
      </w:pPr>
      <w:r>
        <w:rPr>
          <w:rFonts w:hint="eastAsia"/>
          <w:spacing w:val="3"/>
          <w:sz w:val="21"/>
          <w:szCs w:val="21"/>
          <w:highlight w:val="none"/>
          <w:lang w:eastAsia="zh-CN"/>
        </w:rPr>
        <w:t>业务联系人：</w:t>
      </w:r>
      <w:r>
        <w:rPr>
          <w:rFonts w:hint="eastAsia"/>
          <w:spacing w:val="3"/>
          <w:sz w:val="21"/>
          <w:szCs w:val="21"/>
          <w:highlight w:val="none"/>
          <w:lang w:val="en-US" w:eastAsia="zh-CN"/>
        </w:rPr>
        <w:t xml:space="preserve">                 </w:t>
      </w:r>
      <w:r>
        <w:rPr>
          <w:rFonts w:hint="eastAsia"/>
          <w:spacing w:val="3"/>
          <w:sz w:val="21"/>
          <w:szCs w:val="21"/>
          <w:highlight w:val="none"/>
          <w:lang w:eastAsia="zh-CN"/>
        </w:rPr>
        <w:t>联系电话：</w:t>
      </w:r>
      <w:r>
        <w:rPr>
          <w:rFonts w:hint="eastAsia"/>
          <w:spacing w:val="3"/>
          <w:sz w:val="21"/>
          <w:szCs w:val="21"/>
          <w:highlight w:val="none"/>
          <w:lang w:val="en-US" w:eastAsia="zh-CN"/>
        </w:rPr>
        <w:t xml:space="preserve">             </w:t>
      </w:r>
      <w:r>
        <w:rPr>
          <w:rFonts w:hint="eastAsia"/>
          <w:spacing w:val="3"/>
          <w:sz w:val="21"/>
          <w:szCs w:val="21"/>
          <w:highlight w:val="none"/>
          <w:lang w:eastAsia="zh-CN"/>
        </w:rPr>
        <w:t>邮箱：</w:t>
      </w:r>
      <w:r>
        <w:rPr>
          <w:rFonts w:hint="eastAsia"/>
          <w:spacing w:val="3"/>
          <w:sz w:val="21"/>
          <w:szCs w:val="21"/>
          <w:highlight w:val="none"/>
          <w:lang w:val="en-US" w:eastAsia="zh-CN"/>
        </w:rPr>
        <w:t xml:space="preserve">                                  </w:t>
      </w:r>
    </w:p>
    <w:p w14:paraId="5EE89311">
      <w:pPr>
        <w:pStyle w:val="2"/>
        <w:spacing w:before="83" w:line="277" w:lineRule="auto"/>
        <w:ind w:left="13"/>
        <w:rPr>
          <w:rFonts w:hint="default"/>
          <w:sz w:val="21"/>
          <w:szCs w:val="21"/>
          <w:highlight w:val="none"/>
          <w:u w:val="single"/>
          <w:lang w:val="en-US" w:eastAsia="zh-CN"/>
        </w:rPr>
      </w:pPr>
      <w:r>
        <w:rPr>
          <w:rFonts w:hint="eastAsia"/>
          <w:spacing w:val="5"/>
          <w:sz w:val="21"/>
          <w:szCs w:val="21"/>
          <w:highlight w:val="none"/>
          <w:lang w:eastAsia="zh-CN"/>
        </w:rPr>
        <w:t>联系地址：</w:t>
      </w:r>
      <w:r>
        <w:rPr>
          <w:rFonts w:hint="eastAsia"/>
          <w:spacing w:val="5"/>
          <w:sz w:val="21"/>
          <w:szCs w:val="21"/>
          <w:highlight w:val="none"/>
          <w:lang w:val="en-US" w:eastAsia="zh-CN"/>
        </w:rPr>
        <w:t xml:space="preserve">                                                                </w:t>
      </w:r>
    </w:p>
    <w:p w14:paraId="1B412B41">
      <w:pPr>
        <w:pStyle w:val="2"/>
        <w:spacing w:line="204" w:lineRule="auto"/>
        <w:ind w:left="44"/>
        <w:rPr>
          <w:sz w:val="21"/>
          <w:szCs w:val="21"/>
          <w:highlight w:val="none"/>
          <w:lang w:eastAsia="zh-CN"/>
        </w:rPr>
      </w:pPr>
      <w:r>
        <w:rPr>
          <w:rFonts w:hint="eastAsia"/>
          <w:spacing w:val="3"/>
          <w:sz w:val="21"/>
          <w:szCs w:val="21"/>
          <w:highlight w:val="none"/>
          <w:lang w:eastAsia="zh-CN"/>
        </w:rPr>
        <w:t>乙方指定账户信息：</w:t>
      </w:r>
    </w:p>
    <w:p w14:paraId="1152411C">
      <w:pPr>
        <w:pStyle w:val="2"/>
        <w:spacing w:before="92" w:line="205" w:lineRule="auto"/>
        <w:ind w:left="20"/>
        <w:rPr>
          <w:rFonts w:hint="default"/>
          <w:spacing w:val="2"/>
          <w:sz w:val="21"/>
          <w:szCs w:val="21"/>
          <w:highlight w:val="none"/>
          <w:lang w:val="en-US" w:eastAsia="zh-CN"/>
        </w:rPr>
      </w:pPr>
      <w:r>
        <w:rPr>
          <w:rFonts w:hint="eastAsia"/>
          <w:spacing w:val="7"/>
          <w:sz w:val="21"/>
          <w:szCs w:val="21"/>
          <w:highlight w:val="none"/>
          <w:lang w:eastAsia="zh-CN"/>
        </w:rPr>
        <w:t>户名：</w:t>
      </w:r>
      <w:r>
        <w:rPr>
          <w:rFonts w:hint="eastAsia"/>
          <w:spacing w:val="7"/>
          <w:sz w:val="21"/>
          <w:szCs w:val="21"/>
          <w:highlight w:val="none"/>
          <w:lang w:val="en-US" w:eastAsia="zh-CN"/>
        </w:rPr>
        <w:t xml:space="preserve">            </w:t>
      </w:r>
      <w:r>
        <w:rPr>
          <w:rFonts w:hint="eastAsia"/>
          <w:spacing w:val="7"/>
          <w:sz w:val="21"/>
          <w:szCs w:val="21"/>
          <w:highlight w:val="none"/>
          <w:lang w:eastAsia="zh-CN"/>
        </w:rPr>
        <w:t>开户行</w:t>
      </w:r>
      <w:r>
        <w:rPr>
          <w:rFonts w:hint="eastAsia"/>
          <w:spacing w:val="6"/>
          <w:sz w:val="21"/>
          <w:szCs w:val="21"/>
          <w:highlight w:val="none"/>
          <w:lang w:eastAsia="zh-CN"/>
        </w:rPr>
        <w:t>：</w:t>
      </w:r>
      <w:r>
        <w:rPr>
          <w:rFonts w:hint="eastAsia"/>
          <w:spacing w:val="6"/>
          <w:sz w:val="21"/>
          <w:szCs w:val="21"/>
          <w:highlight w:val="none"/>
          <w:lang w:val="en-US" w:eastAsia="zh-CN"/>
        </w:rPr>
        <w:t xml:space="preserve">                            </w:t>
      </w:r>
      <w:r>
        <w:rPr>
          <w:rFonts w:hint="eastAsia"/>
          <w:spacing w:val="2"/>
          <w:sz w:val="21"/>
          <w:szCs w:val="21"/>
          <w:highlight w:val="none"/>
          <w:lang w:eastAsia="zh-CN"/>
        </w:rPr>
        <w:t>账号：</w:t>
      </w:r>
      <w:r>
        <w:rPr>
          <w:rFonts w:hint="eastAsia"/>
          <w:spacing w:val="2"/>
          <w:sz w:val="21"/>
          <w:szCs w:val="21"/>
          <w:highlight w:val="none"/>
          <w:lang w:val="en-US" w:eastAsia="zh-CN"/>
        </w:rPr>
        <w:t xml:space="preserve">                                        </w:t>
      </w:r>
    </w:p>
    <w:p w14:paraId="64EDC030">
      <w:pPr>
        <w:pStyle w:val="2"/>
        <w:spacing w:before="92" w:line="205" w:lineRule="auto"/>
        <w:ind w:left="20"/>
        <w:rPr>
          <w:spacing w:val="2"/>
          <w:highlight w:val="none"/>
          <w:lang w:eastAsia="zh-CN"/>
        </w:rPr>
      </w:pPr>
    </w:p>
    <w:p w14:paraId="5EB6BE32">
      <w:pPr>
        <w:pStyle w:val="2"/>
        <w:spacing w:before="73" w:line="261" w:lineRule="auto"/>
        <w:ind w:left="30" w:right="3" w:firstLine="400"/>
        <w:rPr>
          <w:highlight w:val="none"/>
          <w:lang w:eastAsia="zh-CN"/>
        </w:rPr>
      </w:pPr>
      <w:r>
        <w:rPr>
          <w:spacing w:val="6"/>
          <w:highlight w:val="none"/>
          <w:lang w:eastAsia="zh-CN"/>
        </w:rPr>
        <w:t>根据《中华人民共和国民法典》及有关法律法规的规定，甲乙双方经协商一致，就甲方向乙方采购产品及/</w:t>
      </w:r>
      <w:r>
        <w:rPr>
          <w:spacing w:val="5"/>
          <w:highlight w:val="none"/>
          <w:lang w:eastAsia="zh-CN"/>
        </w:rPr>
        <w:t>或相</w:t>
      </w:r>
      <w:r>
        <w:rPr>
          <w:spacing w:val="4"/>
          <w:highlight w:val="none"/>
          <w:lang w:eastAsia="zh-CN"/>
        </w:rPr>
        <w:t>关服务事宜达成如下条款，以供遵守。</w:t>
      </w:r>
    </w:p>
    <w:p w14:paraId="3C8862A4">
      <w:pPr>
        <w:pStyle w:val="2"/>
        <w:numPr>
          <w:ilvl w:val="0"/>
          <w:numId w:val="1"/>
        </w:numPr>
        <w:rPr>
          <w:highlight w:val="none"/>
        </w:rPr>
      </w:pPr>
      <w:r>
        <w:rPr>
          <w:rFonts w:hint="eastAsia"/>
          <w:b/>
          <w:bCs/>
          <w:highlight w:val="none"/>
        </w:rPr>
        <w:t>合作内容及合作流程</w:t>
      </w:r>
    </w:p>
    <w:p w14:paraId="4581FCE2">
      <w:pPr>
        <w:pStyle w:val="2"/>
        <w:numPr>
          <w:ilvl w:val="1"/>
          <w:numId w:val="2"/>
        </w:numPr>
        <w:spacing w:before="154" w:line="278" w:lineRule="auto"/>
        <w:ind w:right="3"/>
        <w:rPr>
          <w:highlight w:val="none"/>
          <w:lang w:eastAsia="zh-CN"/>
        </w:rPr>
      </w:pPr>
      <w:r>
        <w:rPr>
          <w:rFonts w:hint="eastAsia"/>
          <w:highlight w:val="none"/>
          <w:lang w:val="en-US" w:eastAsia="zh-CN"/>
        </w:rPr>
        <w:t>合作方式</w:t>
      </w:r>
    </w:p>
    <w:p w14:paraId="3040B927">
      <w:pPr>
        <w:numPr>
          <w:ilvl w:val="2"/>
          <w:numId w:val="0"/>
        </w:numPr>
        <w:spacing w:line="400" w:lineRule="exact"/>
        <w:ind w:left="1417" w:leftChars="0" w:hanging="567" w:firstLineChars="0"/>
        <w:rPr>
          <w:rFonts w:hint="eastAsia" w:ascii="华文楷体" w:hAnsi="华文楷体" w:eastAsia="华文楷体" w:cs="华文楷体"/>
          <w:color w:val="auto"/>
          <w:szCs w:val="21"/>
          <w:highlight w:val="none"/>
        </w:rPr>
      </w:pPr>
      <w:r>
        <w:rPr>
          <w:rFonts w:hint="eastAsia" w:ascii="华文楷体" w:hAnsi="华文楷体" w:eastAsia="华文楷体" w:cs="华文楷体"/>
          <w:snapToGrid w:val="0"/>
          <w:color w:val="auto"/>
          <w:sz w:val="21"/>
          <w:szCs w:val="21"/>
          <w:lang w:val="en-US" w:eastAsia="en-US" w:bidi="ar-SA"/>
        </w:rPr>
        <w:t>1.1.1</w:t>
      </w:r>
      <w:r>
        <w:rPr>
          <w:rFonts w:hint="eastAsia" w:ascii="华文楷体" w:hAnsi="华文楷体" w:eastAsia="华文楷体" w:cs="华文楷体"/>
          <w:color w:val="auto"/>
          <w:szCs w:val="21"/>
          <w:highlight w:val="none"/>
        </w:rPr>
        <w:t>甲方的</w:t>
      </w:r>
      <w:r>
        <w:rPr>
          <w:rFonts w:hint="eastAsia" w:ascii="华文楷体" w:hAnsi="华文楷体" w:eastAsia="华文楷体" w:cs="华文楷体"/>
          <w:color w:val="auto"/>
          <w:szCs w:val="21"/>
          <w:highlight w:val="none"/>
          <w:lang w:eastAsia="zh-CN"/>
        </w:rPr>
        <w:t>供应商</w:t>
      </w:r>
      <w:r>
        <w:rPr>
          <w:rFonts w:hint="eastAsia" w:ascii="华文楷体" w:hAnsi="华文楷体" w:eastAsia="华文楷体" w:cs="华文楷体"/>
          <w:color w:val="auto"/>
          <w:szCs w:val="21"/>
          <w:highlight w:val="none"/>
        </w:rPr>
        <w:t>平台（PC端供应商平台</w:t>
      </w:r>
      <w:r>
        <w:rPr>
          <w:rFonts w:hint="eastAsia" w:ascii="华文楷体" w:hAnsi="华文楷体" w:eastAsia="华文楷体" w:cs="华文楷体"/>
          <w:color w:val="auto"/>
          <w:szCs w:val="21"/>
          <w:highlight w:val="none"/>
          <w:lang w:val="en-US" w:eastAsia="zh-CN"/>
        </w:rPr>
        <w:t>网址</w:t>
      </w:r>
      <w:r>
        <w:rPr>
          <w:rFonts w:hint="eastAsia" w:ascii="华文楷体" w:hAnsi="华文楷体" w:eastAsia="华文楷体" w:cs="华文楷体"/>
          <w:color w:val="auto"/>
          <w:szCs w:val="21"/>
          <w:highlight w:val="none"/>
        </w:rPr>
        <w:t>https://zb.ky-express.com和微信公众号跨越精采中发布的招标内容，以下统称为：“</w:t>
      </w:r>
      <w:r>
        <w:rPr>
          <w:rFonts w:hint="eastAsia" w:ascii="华文楷体" w:hAnsi="华文楷体" w:eastAsia="华文楷体" w:cs="华文楷体"/>
          <w:color w:val="auto"/>
          <w:szCs w:val="21"/>
          <w:highlight w:val="none"/>
          <w:lang w:val="en-US" w:eastAsia="zh-CN"/>
        </w:rPr>
        <w:t>供应商</w:t>
      </w:r>
      <w:r>
        <w:rPr>
          <w:rFonts w:hint="eastAsia" w:ascii="华文楷体" w:hAnsi="华文楷体" w:eastAsia="华文楷体" w:cs="华文楷体"/>
          <w:color w:val="auto"/>
          <w:szCs w:val="21"/>
          <w:highlight w:val="none"/>
        </w:rPr>
        <w:t>平台”），包含甲方的</w:t>
      </w:r>
      <w:r>
        <w:rPr>
          <w:rFonts w:hint="eastAsia" w:ascii="华文楷体" w:hAnsi="华文楷体" w:eastAsia="华文楷体" w:cs="华文楷体"/>
          <w:color w:val="auto"/>
          <w:szCs w:val="21"/>
          <w:highlight w:val="none"/>
          <w:lang w:val="en-US" w:eastAsia="zh-CN"/>
        </w:rPr>
        <w:t>产品</w:t>
      </w:r>
      <w:r>
        <w:rPr>
          <w:rFonts w:hint="eastAsia" w:ascii="华文楷体" w:hAnsi="华文楷体" w:eastAsia="华文楷体" w:cs="华文楷体"/>
          <w:color w:val="auto"/>
          <w:szCs w:val="21"/>
          <w:highlight w:val="none"/>
        </w:rPr>
        <w:t>信息等功能模块。</w:t>
      </w:r>
    </w:p>
    <w:p w14:paraId="381592D8">
      <w:pPr>
        <w:numPr>
          <w:ilvl w:val="2"/>
          <w:numId w:val="0"/>
        </w:numPr>
        <w:spacing w:line="400" w:lineRule="exact"/>
        <w:ind w:left="1417" w:leftChars="0" w:hanging="567" w:firstLineChars="0"/>
        <w:rPr>
          <w:rFonts w:hint="eastAsia" w:ascii="华文楷体" w:hAnsi="华文楷体" w:eastAsia="华文楷体" w:cs="华文楷体"/>
          <w:color w:val="auto"/>
          <w:szCs w:val="21"/>
          <w:highlight w:val="none"/>
        </w:rPr>
      </w:pPr>
      <w:r>
        <w:rPr>
          <w:rFonts w:hint="eastAsia" w:ascii="华文楷体" w:hAnsi="华文楷体" w:eastAsia="华文楷体" w:cs="华文楷体"/>
          <w:snapToGrid w:val="0"/>
          <w:color w:val="auto"/>
          <w:sz w:val="21"/>
          <w:szCs w:val="21"/>
          <w:lang w:val="en-US" w:eastAsia="en-US" w:bidi="ar-SA"/>
        </w:rPr>
        <w:t>1.1.2</w:t>
      </w:r>
      <w:r>
        <w:rPr>
          <w:rFonts w:hint="eastAsia" w:ascii="华文楷体" w:hAnsi="华文楷体" w:eastAsia="华文楷体" w:cs="华文楷体"/>
          <w:color w:val="auto"/>
          <w:szCs w:val="21"/>
          <w:highlight w:val="none"/>
          <w:lang w:val="en-US" w:eastAsia="zh-CN"/>
        </w:rPr>
        <w:t>乙方通过注册甲方的“</w:t>
      </w:r>
      <w:r>
        <w:rPr>
          <w:rFonts w:hint="eastAsia" w:ascii="华文楷体" w:hAnsi="华文楷体" w:eastAsia="华文楷体" w:cs="华文楷体"/>
          <w:color w:val="auto"/>
          <w:szCs w:val="21"/>
          <w:highlight w:val="none"/>
          <w:lang w:eastAsia="zh-CN"/>
        </w:rPr>
        <w:t>供应商平台</w:t>
      </w:r>
      <w:r>
        <w:rPr>
          <w:rFonts w:hint="eastAsia" w:ascii="华文楷体" w:hAnsi="华文楷体" w:eastAsia="华文楷体" w:cs="华文楷体"/>
          <w:color w:val="auto"/>
          <w:szCs w:val="21"/>
          <w:highlight w:val="none"/>
        </w:rPr>
        <w:t>”</w:t>
      </w:r>
      <w:r>
        <w:rPr>
          <w:rFonts w:hint="eastAsia" w:ascii="华文楷体" w:hAnsi="华文楷体" w:eastAsia="华文楷体" w:cs="华文楷体"/>
          <w:color w:val="auto"/>
          <w:szCs w:val="21"/>
          <w:highlight w:val="none"/>
          <w:lang w:eastAsia="zh-CN"/>
        </w:rPr>
        <w:t>，</w:t>
      </w:r>
      <w:r>
        <w:rPr>
          <w:rFonts w:hint="eastAsia" w:ascii="华文楷体" w:hAnsi="华文楷体" w:eastAsia="华文楷体" w:cs="华文楷体"/>
          <w:color w:val="auto"/>
          <w:szCs w:val="21"/>
          <w:highlight w:val="none"/>
          <w:lang w:val="en-US" w:eastAsia="zh-CN"/>
        </w:rPr>
        <w:t>注册成功后获取对应账号。</w:t>
      </w:r>
      <w:r>
        <w:rPr>
          <w:rFonts w:hint="eastAsia" w:ascii="华文楷体" w:hAnsi="华文楷体" w:eastAsia="华文楷体" w:cs="华文楷体"/>
          <w:color w:val="auto"/>
          <w:szCs w:val="21"/>
          <w:highlight w:val="none"/>
        </w:rPr>
        <w:t>乙方登录</w:t>
      </w:r>
      <w:r>
        <w:rPr>
          <w:rFonts w:hint="eastAsia" w:ascii="华文楷体" w:hAnsi="华文楷体" w:eastAsia="华文楷体" w:cs="华文楷体"/>
          <w:color w:val="auto"/>
          <w:szCs w:val="21"/>
          <w:highlight w:val="none"/>
          <w:lang w:val="en-US" w:eastAsia="zh-CN"/>
        </w:rPr>
        <w:t>账号</w:t>
      </w:r>
      <w:r>
        <w:rPr>
          <w:rFonts w:hint="eastAsia" w:ascii="华文楷体" w:hAnsi="华文楷体" w:eastAsia="华文楷体" w:cs="华文楷体"/>
          <w:color w:val="auto"/>
          <w:szCs w:val="21"/>
          <w:highlight w:val="none"/>
        </w:rPr>
        <w:t>后可以进行</w:t>
      </w:r>
      <w:r>
        <w:rPr>
          <w:rFonts w:hint="eastAsia" w:ascii="华文楷体" w:hAnsi="华文楷体" w:eastAsia="华文楷体" w:cs="华文楷体"/>
          <w:color w:val="auto"/>
          <w:szCs w:val="21"/>
          <w:highlight w:val="none"/>
          <w:lang w:val="en-US" w:eastAsia="zh-CN"/>
        </w:rPr>
        <w:t>查阅招标项目的相关信息，可以自进行投标</w:t>
      </w:r>
      <w:r>
        <w:rPr>
          <w:rFonts w:hint="eastAsia" w:ascii="华文楷体" w:hAnsi="华文楷体" w:eastAsia="华文楷体" w:cs="华文楷体"/>
          <w:color w:val="auto"/>
          <w:szCs w:val="21"/>
          <w:highlight w:val="none"/>
        </w:rPr>
        <w:t>等操作。甲方可能会根据实际业务情况，对系统功能进行优化调整，具体以系统展示为准。</w:t>
      </w:r>
    </w:p>
    <w:p w14:paraId="488045EC">
      <w:pPr>
        <w:numPr>
          <w:ilvl w:val="2"/>
          <w:numId w:val="0"/>
        </w:numPr>
        <w:spacing w:line="400" w:lineRule="exact"/>
        <w:ind w:left="1417" w:leftChars="0" w:hanging="567" w:firstLineChars="0"/>
        <w:rPr>
          <w:rFonts w:hint="eastAsia" w:ascii="华文楷体" w:hAnsi="华文楷体" w:eastAsia="华文楷体" w:cs="华文楷体"/>
          <w:color w:val="auto"/>
          <w:szCs w:val="21"/>
          <w:highlight w:val="none"/>
        </w:rPr>
      </w:pPr>
      <w:r>
        <w:rPr>
          <w:rFonts w:hint="eastAsia" w:ascii="华文楷体" w:hAnsi="华文楷体" w:eastAsia="华文楷体" w:cs="华文楷体"/>
          <w:snapToGrid w:val="0"/>
          <w:color w:val="auto"/>
          <w:sz w:val="21"/>
          <w:szCs w:val="21"/>
          <w:lang w:val="en-US" w:eastAsia="en-US" w:bidi="ar-SA"/>
        </w:rPr>
        <w:t>1.1.3</w:t>
      </w:r>
      <w:r>
        <w:rPr>
          <w:rFonts w:hint="eastAsia" w:ascii="华文楷体" w:hAnsi="华文楷体" w:eastAsia="华文楷体" w:cs="华文楷体"/>
          <w:color w:val="auto"/>
          <w:szCs w:val="21"/>
          <w:highlight w:val="none"/>
        </w:rPr>
        <w:t>乙方</w:t>
      </w:r>
      <w:r>
        <w:rPr>
          <w:rFonts w:hint="eastAsia" w:ascii="华文楷体" w:hAnsi="华文楷体" w:eastAsia="华文楷体" w:cs="华文楷体"/>
          <w:color w:val="auto"/>
          <w:szCs w:val="21"/>
          <w:highlight w:val="none"/>
          <w:lang w:val="en-US" w:eastAsia="zh-CN"/>
        </w:rPr>
        <w:t>注册</w:t>
      </w:r>
      <w:r>
        <w:rPr>
          <w:rFonts w:hint="eastAsia" w:ascii="华文楷体" w:hAnsi="华文楷体" w:eastAsia="华文楷体" w:cs="华文楷体"/>
          <w:color w:val="auto"/>
          <w:szCs w:val="21"/>
          <w:highlight w:val="none"/>
        </w:rPr>
        <w:t>开通“</w:t>
      </w:r>
      <w:r>
        <w:rPr>
          <w:rFonts w:hint="eastAsia" w:ascii="华文楷体" w:hAnsi="华文楷体" w:eastAsia="华文楷体" w:cs="华文楷体"/>
          <w:color w:val="auto"/>
          <w:szCs w:val="21"/>
          <w:highlight w:val="none"/>
          <w:lang w:eastAsia="zh-CN"/>
        </w:rPr>
        <w:t>供应商平台</w:t>
      </w:r>
      <w:r>
        <w:rPr>
          <w:rFonts w:hint="eastAsia" w:ascii="华文楷体" w:hAnsi="华文楷体" w:eastAsia="华文楷体" w:cs="华文楷体"/>
          <w:color w:val="auto"/>
          <w:szCs w:val="21"/>
          <w:highlight w:val="none"/>
        </w:rPr>
        <w:t>”的用户名登录账号和登录密码，用户名登录账号为乙方提供的手机号码，初始登录密码由甲方或“</w:t>
      </w:r>
      <w:r>
        <w:rPr>
          <w:rFonts w:hint="eastAsia" w:ascii="华文楷体" w:hAnsi="华文楷体" w:eastAsia="华文楷体" w:cs="华文楷体"/>
          <w:color w:val="auto"/>
          <w:szCs w:val="21"/>
          <w:highlight w:val="none"/>
          <w:lang w:eastAsia="zh-CN"/>
        </w:rPr>
        <w:t>供应商平台</w:t>
      </w:r>
      <w:r>
        <w:rPr>
          <w:rFonts w:hint="eastAsia" w:ascii="华文楷体" w:hAnsi="华文楷体" w:eastAsia="华文楷体" w:cs="华文楷体"/>
          <w:color w:val="auto"/>
          <w:szCs w:val="21"/>
          <w:highlight w:val="none"/>
        </w:rPr>
        <w:t>”通过手机发送，乙方收到后应在三天内进行修改登录密码，乙方妥善保管好维修系统的账号、密码，乙方账户的一切操作均由乙方承担责任。</w:t>
      </w:r>
    </w:p>
    <w:p w14:paraId="59D633FE">
      <w:pPr>
        <w:numPr>
          <w:ilvl w:val="2"/>
          <w:numId w:val="0"/>
        </w:numPr>
        <w:spacing w:line="400" w:lineRule="exact"/>
        <w:ind w:left="1417" w:leftChars="0" w:hanging="567" w:firstLineChars="0"/>
        <w:rPr>
          <w:rFonts w:hint="eastAsia" w:ascii="华文楷体" w:hAnsi="华文楷体" w:eastAsia="华文楷体" w:cs="华文楷体"/>
          <w:color w:val="auto"/>
          <w:szCs w:val="21"/>
          <w:highlight w:val="none"/>
          <w:lang w:eastAsia="zh-CN"/>
        </w:rPr>
      </w:pPr>
      <w:r>
        <w:rPr>
          <w:rFonts w:hint="eastAsia" w:ascii="华文楷体" w:hAnsi="华文楷体" w:eastAsia="华文楷体" w:cs="华文楷体"/>
          <w:snapToGrid w:val="0"/>
          <w:color w:val="auto"/>
          <w:sz w:val="21"/>
          <w:szCs w:val="21"/>
          <w:lang w:val="en-US" w:eastAsia="zh-CN" w:bidi="ar-SA"/>
        </w:rPr>
        <w:t>1.1.4</w:t>
      </w:r>
      <w:r>
        <w:rPr>
          <w:rFonts w:hint="eastAsia" w:ascii="华文楷体" w:hAnsi="华文楷体" w:eastAsia="华文楷体" w:cs="华文楷体"/>
          <w:color w:val="auto"/>
          <w:szCs w:val="21"/>
          <w:highlight w:val="none"/>
          <w:lang w:val="en-US" w:eastAsia="zh-CN"/>
        </w:rPr>
        <w:t>乙方中标招标项目后，</w:t>
      </w:r>
      <w:r>
        <w:rPr>
          <w:rFonts w:hint="eastAsia" w:ascii="华文楷体" w:hAnsi="华文楷体" w:eastAsia="华文楷体" w:cs="华文楷体"/>
          <w:color w:val="auto"/>
          <w:szCs w:val="21"/>
          <w:highlight w:val="none"/>
        </w:rPr>
        <w:t>甲方在“</w:t>
      </w:r>
      <w:r>
        <w:rPr>
          <w:rFonts w:hint="eastAsia" w:ascii="华文楷体" w:hAnsi="华文楷体" w:eastAsia="华文楷体" w:cs="华文楷体"/>
          <w:color w:val="auto"/>
          <w:szCs w:val="21"/>
          <w:highlight w:val="none"/>
          <w:lang w:eastAsia="zh-CN"/>
        </w:rPr>
        <w:t>供应商平台</w:t>
      </w:r>
      <w:r>
        <w:rPr>
          <w:rFonts w:hint="eastAsia" w:ascii="华文楷体" w:hAnsi="华文楷体" w:eastAsia="华文楷体" w:cs="华文楷体"/>
          <w:color w:val="auto"/>
          <w:szCs w:val="21"/>
          <w:highlight w:val="none"/>
        </w:rPr>
        <w:t>”</w:t>
      </w:r>
      <w:r>
        <w:rPr>
          <w:rFonts w:hint="eastAsia" w:ascii="华文楷体" w:hAnsi="华文楷体" w:eastAsia="华文楷体" w:cs="华文楷体"/>
          <w:color w:val="auto"/>
          <w:szCs w:val="21"/>
          <w:highlight w:val="none"/>
          <w:lang w:val="en-US" w:eastAsia="zh-CN"/>
        </w:rPr>
        <w:t>向乙方</w:t>
      </w:r>
      <w:r>
        <w:rPr>
          <w:rFonts w:hint="eastAsia" w:ascii="华文楷体" w:hAnsi="华文楷体" w:eastAsia="华文楷体" w:cs="华文楷体"/>
          <w:color w:val="auto"/>
          <w:szCs w:val="21"/>
          <w:highlight w:val="none"/>
          <w:lang w:eastAsia="zh-CN"/>
        </w:rPr>
        <w:t>发送采购订单（</w:t>
      </w:r>
      <w:r>
        <w:rPr>
          <w:rFonts w:hint="eastAsia" w:ascii="华文楷体" w:hAnsi="华文楷体" w:eastAsia="华文楷体" w:cs="华文楷体"/>
          <w:color w:val="auto"/>
          <w:szCs w:val="21"/>
          <w:highlight w:val="none"/>
          <w:lang w:val="en-US" w:eastAsia="zh-CN"/>
        </w:rPr>
        <w:t>产品</w:t>
      </w:r>
      <w:r>
        <w:rPr>
          <w:rFonts w:hint="eastAsia" w:ascii="华文楷体" w:hAnsi="华文楷体" w:eastAsia="华文楷体" w:cs="华文楷体"/>
          <w:color w:val="auto"/>
          <w:szCs w:val="21"/>
          <w:highlight w:val="none"/>
          <w:lang w:eastAsia="zh-CN"/>
        </w:rPr>
        <w:t>信息、</w:t>
      </w:r>
      <w:r>
        <w:rPr>
          <w:rFonts w:hint="eastAsia" w:ascii="华文楷体" w:hAnsi="华文楷体" w:eastAsia="华文楷体" w:cs="华文楷体"/>
          <w:color w:val="auto"/>
          <w:szCs w:val="21"/>
          <w:highlight w:val="none"/>
          <w:lang w:val="en-US" w:eastAsia="zh-CN"/>
        </w:rPr>
        <w:t>送货日期、送货地点等</w:t>
      </w:r>
      <w:r>
        <w:rPr>
          <w:rFonts w:hint="eastAsia" w:ascii="华文楷体" w:hAnsi="华文楷体" w:eastAsia="华文楷体" w:cs="华文楷体"/>
          <w:color w:val="auto"/>
          <w:szCs w:val="21"/>
          <w:highlight w:val="none"/>
          <w:lang w:eastAsia="zh-CN"/>
        </w:rPr>
        <w:t>）</w:t>
      </w:r>
      <w:r>
        <w:rPr>
          <w:rFonts w:hint="eastAsia" w:ascii="华文楷体" w:hAnsi="华文楷体" w:eastAsia="华文楷体" w:cs="华文楷体"/>
          <w:color w:val="auto"/>
          <w:szCs w:val="21"/>
          <w:highlight w:val="none"/>
          <w:lang w:val="en-US" w:eastAsia="zh-CN"/>
        </w:rPr>
        <w:t>信息</w:t>
      </w:r>
      <w:r>
        <w:rPr>
          <w:rFonts w:hint="eastAsia" w:ascii="华文楷体" w:hAnsi="华文楷体" w:eastAsia="华文楷体" w:cs="华文楷体"/>
          <w:color w:val="auto"/>
          <w:szCs w:val="21"/>
          <w:highlight w:val="none"/>
          <w:lang w:eastAsia="zh-CN"/>
        </w:rPr>
        <w:t>推送给乙方，乙方</w:t>
      </w:r>
      <w:r>
        <w:rPr>
          <w:rFonts w:hint="eastAsia" w:ascii="华文楷体" w:hAnsi="华文楷体" w:eastAsia="华文楷体" w:cs="华文楷体"/>
          <w:color w:val="auto"/>
          <w:szCs w:val="21"/>
          <w:highlight w:val="none"/>
          <w:lang w:val="en-US" w:eastAsia="zh-CN"/>
        </w:rPr>
        <w:t>应按照推送的信息完成订单，乙方逾期交货、交付产品不合格等违约情形按照本合同约定处理</w:t>
      </w:r>
      <w:r>
        <w:rPr>
          <w:rFonts w:hint="eastAsia" w:ascii="华文楷体" w:hAnsi="华文楷体" w:eastAsia="华文楷体" w:cs="华文楷体"/>
          <w:color w:val="auto"/>
          <w:szCs w:val="21"/>
          <w:highlight w:val="none"/>
          <w:lang w:eastAsia="zh-CN"/>
        </w:rPr>
        <w:t>。</w:t>
      </w:r>
    </w:p>
    <w:p w14:paraId="037C8793">
      <w:pPr>
        <w:keepNext w:val="0"/>
        <w:keepLines w:val="0"/>
        <w:pageBreakBefore w:val="0"/>
        <w:widowControl/>
        <w:numPr>
          <w:ilvl w:val="2"/>
          <w:numId w:val="0"/>
        </w:numPr>
        <w:kinsoku w:val="0"/>
        <w:wordWrap/>
        <w:overflowPunct/>
        <w:topLinePunct w:val="0"/>
        <w:autoSpaceDE w:val="0"/>
        <w:autoSpaceDN w:val="0"/>
        <w:bidi w:val="0"/>
        <w:adjustRightInd w:val="0"/>
        <w:snapToGrid w:val="0"/>
        <w:spacing w:before="154" w:line="400" w:lineRule="exact"/>
        <w:ind w:left="1417" w:leftChars="0" w:right="6" w:rightChars="0" w:hanging="567" w:firstLineChars="0"/>
        <w:textAlignment w:val="baseline"/>
        <w:rPr>
          <w:rFonts w:hint="eastAsia" w:ascii="华文楷体" w:hAnsi="华文楷体" w:eastAsia="华文楷体" w:cs="华文楷体"/>
          <w:snapToGrid w:val="0"/>
          <w:color w:val="000000"/>
          <w:spacing w:val="6"/>
          <w:sz w:val="21"/>
          <w:szCs w:val="21"/>
          <w:lang w:val="en-US" w:eastAsia="zh-CN" w:bidi="ar-SA"/>
        </w:rPr>
      </w:pPr>
      <w:r>
        <w:rPr>
          <w:rFonts w:hint="eastAsia" w:ascii="华文楷体" w:hAnsi="华文楷体" w:eastAsia="华文楷体" w:cs="华文楷体"/>
          <w:snapToGrid w:val="0"/>
          <w:color w:val="000000"/>
          <w:spacing w:val="6"/>
          <w:sz w:val="21"/>
          <w:szCs w:val="21"/>
          <w:lang w:val="en-US" w:eastAsia="zh-CN" w:bidi="ar-SA"/>
        </w:rPr>
        <w:t>1.1.5</w:t>
      </w:r>
      <w:r>
        <w:rPr>
          <w:rFonts w:hint="eastAsia" w:ascii="华文楷体" w:hAnsi="华文楷体" w:eastAsia="华文楷体" w:cs="华文楷体"/>
          <w:spacing w:val="6"/>
          <w:lang w:eastAsia="zh-CN"/>
        </w:rPr>
        <w:t>甲方向乙方发送订单后，乙方应在收到该订单48小时内，在电子系统确认(即“跨越供应商平台”进行订单确认操作)或书面函件确认(加盖公章的纸质书面函件)或其他电子方式(包括微信、电子邮箱等)等方式确认订单。若乙方超过48小时未确认，则视为乙方已接受订单，乙方需按照订单要求履行相应义务。若乙方明确表示拒绝部分或全部订单，或者在甲方催促确认后，仍未在甲方指定的期限内确认的，均视为拒绝履约，根据本合同第7条的约定处理。</w:t>
      </w:r>
    </w:p>
    <w:p w14:paraId="347F4A8D">
      <w:pPr>
        <w:keepNext w:val="0"/>
        <w:keepLines w:val="0"/>
        <w:pageBreakBefore w:val="0"/>
        <w:widowControl/>
        <w:numPr>
          <w:ilvl w:val="2"/>
          <w:numId w:val="0"/>
        </w:numPr>
        <w:kinsoku w:val="0"/>
        <w:wordWrap/>
        <w:overflowPunct/>
        <w:topLinePunct w:val="0"/>
        <w:autoSpaceDE w:val="0"/>
        <w:autoSpaceDN w:val="0"/>
        <w:bidi w:val="0"/>
        <w:adjustRightInd w:val="0"/>
        <w:snapToGrid w:val="0"/>
        <w:spacing w:before="154" w:line="400" w:lineRule="exact"/>
        <w:ind w:left="1417" w:leftChars="0" w:right="6" w:rightChars="0" w:hanging="567" w:firstLineChars="0"/>
        <w:textAlignment w:val="baseline"/>
        <w:rPr>
          <w:rFonts w:hint="eastAsia" w:ascii="华文楷体" w:hAnsi="华文楷体" w:eastAsia="华文楷体" w:cs="华文楷体"/>
          <w:color w:val="auto"/>
          <w:szCs w:val="21"/>
          <w:highlight w:val="none"/>
          <w:lang w:eastAsia="zh-CN"/>
        </w:rPr>
      </w:pPr>
      <w:r>
        <w:rPr>
          <w:rFonts w:hint="eastAsia" w:ascii="华文楷体" w:hAnsi="华文楷体" w:eastAsia="华文楷体" w:cs="华文楷体"/>
          <w:color w:val="auto"/>
          <w:szCs w:val="21"/>
          <w:highlight w:val="none"/>
          <w:lang w:val="en-US" w:eastAsia="zh-CN"/>
        </w:rPr>
        <w:t>1.1.6</w:t>
      </w:r>
      <w:r>
        <w:rPr>
          <w:rFonts w:hint="eastAsia" w:ascii="华文楷体" w:hAnsi="华文楷体" w:eastAsia="华文楷体" w:cs="华文楷体"/>
          <w:color w:val="auto"/>
          <w:szCs w:val="21"/>
          <w:highlight w:val="none"/>
          <w:lang w:eastAsia="zh-CN"/>
        </w:rPr>
        <w:t>乙方应妥善保管登录甲方供应商平台的账户名称及账户密码，所有通过乙方的账户名称及密码登录甲方系统进行操作的行为均视为乙方或乙方授权的行为，并对相应行为承担全部责任。乙方已充分知悉账户名称及密码的重要性及因保管不善导致账户名和密码被泄露而造成的所有后果，并承担所有责任。</w:t>
      </w:r>
    </w:p>
    <w:p w14:paraId="30EC936D">
      <w:pPr>
        <w:keepNext w:val="0"/>
        <w:keepLines w:val="0"/>
        <w:pageBreakBefore w:val="0"/>
        <w:widowControl/>
        <w:numPr>
          <w:ilvl w:val="2"/>
          <w:numId w:val="0"/>
        </w:numPr>
        <w:kinsoku w:val="0"/>
        <w:wordWrap/>
        <w:overflowPunct/>
        <w:topLinePunct w:val="0"/>
        <w:autoSpaceDE w:val="0"/>
        <w:autoSpaceDN w:val="0"/>
        <w:bidi w:val="0"/>
        <w:adjustRightInd w:val="0"/>
        <w:snapToGrid w:val="0"/>
        <w:spacing w:before="154" w:line="400" w:lineRule="exact"/>
        <w:ind w:left="1417" w:leftChars="0" w:right="6" w:rightChars="0" w:hanging="567" w:firstLineChars="0"/>
        <w:textAlignment w:val="baseline"/>
        <w:rPr>
          <w:highlight w:val="none"/>
          <w:lang w:eastAsia="zh-CN"/>
        </w:rPr>
      </w:pPr>
      <w:r>
        <w:rPr>
          <w:rFonts w:hint="eastAsia" w:ascii="华文楷体" w:hAnsi="华文楷体" w:eastAsia="华文楷体" w:cs="华文楷体"/>
          <w:color w:val="auto"/>
          <w:szCs w:val="21"/>
          <w:highlight w:val="none"/>
          <w:lang w:val="en-US" w:eastAsia="zh-CN"/>
        </w:rPr>
        <w:t>1.1.7</w:t>
      </w:r>
      <w:r>
        <w:rPr>
          <w:rFonts w:hint="eastAsia" w:ascii="华文楷体" w:hAnsi="华文楷体" w:eastAsia="华文楷体" w:cs="华文楷体"/>
          <w:color w:val="auto"/>
          <w:szCs w:val="21"/>
          <w:highlight w:val="none"/>
          <w:lang w:eastAsia="zh-CN"/>
        </w:rPr>
        <w:t>本合同标的物及价格详见供应商平台</w:t>
      </w:r>
      <w:r>
        <w:rPr>
          <w:rFonts w:hint="eastAsia" w:ascii="华文楷体" w:hAnsi="华文楷体" w:eastAsia="华文楷体" w:cs="华文楷体"/>
          <w:color w:val="auto"/>
          <w:szCs w:val="21"/>
          <w:highlight w:val="none"/>
          <w:lang w:val="en-US" w:eastAsia="zh-CN"/>
        </w:rPr>
        <w:t>或</w:t>
      </w:r>
      <w:r>
        <w:rPr>
          <w:rFonts w:hint="eastAsia" w:ascii="华文楷体" w:hAnsi="华文楷体" w:eastAsia="华文楷体" w:cs="华文楷体"/>
          <w:color w:val="auto"/>
          <w:szCs w:val="21"/>
          <w:highlight w:val="none"/>
          <w:lang w:eastAsia="zh-CN"/>
        </w:rPr>
        <w:t>附件《产品基本信息及验收标准》，甲方</w:t>
      </w:r>
      <w:r>
        <w:rPr>
          <w:rFonts w:hint="eastAsia" w:ascii="华文楷体" w:hAnsi="华文楷体" w:eastAsia="华文楷体" w:cs="华文楷体"/>
          <w:color w:val="auto"/>
          <w:kern w:val="0"/>
          <w:szCs w:val="21"/>
          <w:highlight w:val="none"/>
          <w:lang w:eastAsia="zh-CN"/>
        </w:rPr>
        <w:t>或关联公司</w:t>
      </w:r>
      <w:r>
        <w:rPr>
          <w:rFonts w:hint="eastAsia" w:ascii="华文楷体" w:hAnsi="华文楷体" w:eastAsia="华文楷体" w:cs="华文楷体"/>
          <w:color w:val="auto"/>
          <w:szCs w:val="21"/>
          <w:highlight w:val="none"/>
          <w:lang w:eastAsia="zh-CN"/>
        </w:rPr>
        <w:t>根据实际需求通过电话、QQ、邮件、</w:t>
      </w:r>
      <w:r>
        <w:rPr>
          <w:rFonts w:hint="eastAsia" w:ascii="华文楷体" w:hAnsi="华文楷体" w:eastAsia="华文楷体" w:cs="华文楷体"/>
          <w:color w:val="auto"/>
          <w:szCs w:val="21"/>
          <w:highlight w:val="none"/>
          <w:lang w:val="en-US" w:eastAsia="zh-CN"/>
        </w:rPr>
        <w:t>微信/企业微信、</w:t>
      </w:r>
      <w:r>
        <w:rPr>
          <w:rFonts w:hint="eastAsia" w:ascii="华文楷体" w:hAnsi="华文楷体" w:eastAsia="华文楷体" w:cs="华文楷体"/>
          <w:color w:val="auto"/>
          <w:szCs w:val="21"/>
          <w:highlight w:val="none"/>
          <w:lang w:eastAsia="zh-CN"/>
        </w:rPr>
        <w:t>短信、供应商平台等方式向乙方发送采购订单（</w:t>
      </w:r>
      <w:r>
        <w:rPr>
          <w:rFonts w:hint="eastAsia" w:ascii="华文楷体" w:hAnsi="华文楷体" w:eastAsia="华文楷体" w:cs="华文楷体"/>
          <w:color w:val="auto"/>
          <w:szCs w:val="21"/>
          <w:highlight w:val="none"/>
          <w:lang w:val="en-US" w:eastAsia="zh-CN"/>
        </w:rPr>
        <w:t>如有</w:t>
      </w:r>
      <w:r>
        <w:rPr>
          <w:rFonts w:hint="eastAsia" w:ascii="华文楷体" w:hAnsi="华文楷体" w:eastAsia="华文楷体" w:cs="华文楷体"/>
          <w:color w:val="auto"/>
          <w:szCs w:val="21"/>
          <w:highlight w:val="none"/>
          <w:lang w:eastAsia="zh-CN"/>
        </w:rPr>
        <w:t>样式详见附件）。本合同项下甲方对乙方的所有通知，均</w:t>
      </w:r>
      <w:r>
        <w:rPr>
          <w:rFonts w:hint="eastAsia" w:ascii="华文楷体" w:hAnsi="华文楷体" w:eastAsia="华文楷体" w:cs="华文楷体"/>
          <w:color w:val="auto"/>
          <w:szCs w:val="21"/>
          <w:highlight w:val="none"/>
          <w:lang w:val="en-US" w:eastAsia="zh-CN"/>
        </w:rPr>
        <w:t>可</w:t>
      </w:r>
      <w:r>
        <w:rPr>
          <w:rFonts w:hint="eastAsia" w:ascii="华文楷体" w:hAnsi="华文楷体" w:eastAsia="华文楷体" w:cs="华文楷体"/>
          <w:color w:val="auto"/>
          <w:szCs w:val="21"/>
          <w:highlight w:val="none"/>
          <w:lang w:eastAsia="zh-CN"/>
        </w:rPr>
        <w:t>以本</w:t>
      </w:r>
      <w:r>
        <w:rPr>
          <w:rFonts w:hint="eastAsia" w:ascii="华文楷体" w:hAnsi="华文楷体" w:eastAsia="华文楷体" w:cs="华文楷体"/>
          <w:color w:val="auto"/>
          <w:szCs w:val="21"/>
          <w:highlight w:val="none"/>
          <w:lang w:val="en-US" w:eastAsia="zh-CN"/>
        </w:rPr>
        <w:t>条款</w:t>
      </w:r>
      <w:r>
        <w:rPr>
          <w:rFonts w:hint="eastAsia" w:ascii="华文楷体" w:hAnsi="华文楷体" w:eastAsia="华文楷体" w:cs="华文楷体"/>
          <w:color w:val="auto"/>
          <w:szCs w:val="21"/>
          <w:highlight w:val="none"/>
          <w:lang w:eastAsia="zh-CN"/>
        </w:rPr>
        <w:t>约定的通知方式作出。</w:t>
      </w:r>
    </w:p>
    <w:p w14:paraId="2D5F9C6A">
      <w:pPr>
        <w:pStyle w:val="2"/>
        <w:numPr>
          <w:ilvl w:val="1"/>
          <w:numId w:val="2"/>
        </w:numPr>
        <w:spacing w:before="154" w:line="278" w:lineRule="auto"/>
        <w:ind w:right="3"/>
        <w:rPr>
          <w:highlight w:val="none"/>
          <w:lang w:eastAsia="zh-CN"/>
        </w:rPr>
      </w:pPr>
      <w:r>
        <w:rPr>
          <w:rFonts w:hint="eastAsia"/>
          <w:highlight w:val="none"/>
          <w:lang w:eastAsia="zh-CN"/>
        </w:rPr>
        <w:t>甲方指定业务联系人或对接人</w:t>
      </w:r>
      <w:r>
        <w:rPr>
          <w:rFonts w:hint="eastAsia" w:ascii="华文楷体" w:hAnsi="华文楷体" w:eastAsia="华文楷体"/>
          <w:szCs w:val="21"/>
          <w:highlight w:val="none"/>
        </w:rPr>
        <w:t>【</w:t>
      </w:r>
      <w:r>
        <w:rPr>
          <w:rFonts w:hint="eastAsia"/>
          <w:szCs w:val="21"/>
          <w:highlight w:val="none"/>
          <w:lang w:val="en-US" w:eastAsia="zh-CN"/>
        </w:rPr>
        <w:t>周孝苗</w:t>
      </w:r>
      <w:r>
        <w:rPr>
          <w:rFonts w:hint="eastAsia" w:ascii="华文楷体" w:hAnsi="华文楷体" w:eastAsia="华文楷体"/>
          <w:szCs w:val="21"/>
          <w:highlight w:val="none"/>
        </w:rPr>
        <w:t>】</w:t>
      </w:r>
      <w:r>
        <w:rPr>
          <w:rFonts w:hint="eastAsia"/>
          <w:highlight w:val="none"/>
          <w:lang w:eastAsia="zh-CN"/>
        </w:rPr>
        <w:t>负责专门对接乙方，包括但不限于下单、取消订单、变更订单、结算、发送业务相关文件等，乙方需与甲方指定对接人直接对接业务相关事宜，除此之外，乙方与甲方其他员工达成的任何口头或书面合</w:t>
      </w:r>
      <w:r>
        <w:rPr>
          <w:rFonts w:hint="eastAsia"/>
          <w:highlight w:val="none"/>
          <w:lang w:val="en-US" w:eastAsia="zh-CN"/>
        </w:rPr>
        <w:t>作</w:t>
      </w:r>
      <w:r>
        <w:rPr>
          <w:rFonts w:hint="eastAsia"/>
          <w:highlight w:val="none"/>
          <w:lang w:eastAsia="zh-CN"/>
        </w:rPr>
        <w:t>均不发生法律效力。如该业务对接人发生变更，甲方将以书面形式通知乙方，否则均以本合同指定对接人为准。</w:t>
      </w:r>
    </w:p>
    <w:p w14:paraId="210A6B6B">
      <w:pPr>
        <w:pStyle w:val="2"/>
        <w:numPr>
          <w:ilvl w:val="1"/>
          <w:numId w:val="2"/>
        </w:numPr>
        <w:spacing w:before="78" w:line="308" w:lineRule="auto"/>
        <w:ind w:right="1"/>
        <w:rPr>
          <w:highlight w:val="none"/>
          <w:lang w:eastAsia="zh-CN"/>
        </w:rPr>
      </w:pPr>
      <w:r>
        <w:rPr>
          <w:spacing w:val="7"/>
          <w:highlight w:val="none"/>
          <w:lang w:eastAsia="zh-CN"/>
        </w:rPr>
        <w:t>如因情况特殊，甲方有权在乙方发货前取消或变更订单/</w:t>
      </w:r>
      <w:r>
        <w:rPr>
          <w:spacing w:val="6"/>
          <w:highlight w:val="none"/>
          <w:lang w:eastAsia="zh-CN"/>
        </w:rPr>
        <w:t>合同（按甲方特殊要求定制的产品，且乙方已</w:t>
      </w:r>
      <w:r>
        <w:rPr>
          <w:spacing w:val="7"/>
          <w:highlight w:val="none"/>
          <w:lang w:eastAsia="zh-CN"/>
        </w:rPr>
        <w:t>经生产完成或虽未生产完成但已经投入生产导致无法取消的除外</w:t>
      </w:r>
      <w:r>
        <w:rPr>
          <w:spacing w:val="8"/>
          <w:highlight w:val="none"/>
          <w:lang w:eastAsia="zh-CN"/>
        </w:rPr>
        <w:t>），</w:t>
      </w:r>
      <w:r>
        <w:rPr>
          <w:spacing w:val="7"/>
          <w:highlight w:val="none"/>
          <w:lang w:eastAsia="zh-CN"/>
        </w:rPr>
        <w:t>乙方同意配合处理。因甲方原因</w:t>
      </w:r>
      <w:r>
        <w:rPr>
          <w:spacing w:val="4"/>
          <w:highlight w:val="none"/>
          <w:lang w:eastAsia="zh-CN"/>
        </w:rPr>
        <w:t>修改或取消订单需在发货前提前五个自然日通知（含微信、邮件、</w:t>
      </w:r>
      <w:r>
        <w:rPr>
          <w:rFonts w:hint="eastAsia"/>
          <w:spacing w:val="4"/>
          <w:highlight w:val="none"/>
          <w:lang w:eastAsia="zh-CN"/>
        </w:rPr>
        <w:t>电话</w:t>
      </w:r>
      <w:r>
        <w:rPr>
          <w:spacing w:val="4"/>
          <w:highlight w:val="none"/>
          <w:lang w:eastAsia="zh-CN"/>
        </w:rPr>
        <w:t>）乙方。</w:t>
      </w:r>
    </w:p>
    <w:p w14:paraId="1EE8ED8E">
      <w:pPr>
        <w:pStyle w:val="2"/>
        <w:numPr>
          <w:ilvl w:val="1"/>
          <w:numId w:val="2"/>
        </w:numPr>
        <w:spacing w:before="126" w:line="288" w:lineRule="auto"/>
        <w:ind w:right="1"/>
        <w:rPr>
          <w:highlight w:val="none"/>
          <w:lang w:eastAsia="zh-CN"/>
        </w:rPr>
      </w:pPr>
      <w:r>
        <w:rPr>
          <w:spacing w:val="1"/>
          <w:highlight w:val="none"/>
        </w:rPr>
        <w:t>合同有效期:自</w:t>
      </w:r>
      <w:permStart w:id="0" w:edGrp="everyone"/>
      <w:r>
        <w:rPr>
          <w:rFonts w:hint="eastAsia"/>
          <w:szCs w:val="21"/>
          <w:highlight w:val="none"/>
          <w:lang w:val="en-US" w:eastAsia="zh-CN"/>
        </w:rPr>
        <w:t>2026</w:t>
      </w:r>
      <w:r>
        <w:rPr>
          <w:rFonts w:hint="eastAsia" w:ascii="华文楷体" w:hAnsi="华文楷体" w:eastAsia="华文楷体"/>
          <w:szCs w:val="21"/>
          <w:highlight w:val="none"/>
        </w:rPr>
        <w:t>年</w:t>
      </w:r>
      <w:r>
        <w:rPr>
          <w:rFonts w:hint="eastAsia"/>
          <w:szCs w:val="21"/>
          <w:highlight w:val="none"/>
          <w:lang w:val="en-US" w:eastAsia="zh-CN"/>
        </w:rPr>
        <w:t>01</w:t>
      </w:r>
      <w:r>
        <w:rPr>
          <w:rFonts w:hint="eastAsia" w:ascii="华文楷体" w:hAnsi="华文楷体" w:eastAsia="华文楷体"/>
          <w:szCs w:val="21"/>
          <w:highlight w:val="none"/>
        </w:rPr>
        <w:t>月</w:t>
      </w:r>
      <w:r>
        <w:rPr>
          <w:rFonts w:hint="eastAsia"/>
          <w:szCs w:val="21"/>
          <w:highlight w:val="none"/>
          <w:lang w:val="en-US" w:eastAsia="zh-CN"/>
        </w:rPr>
        <w:t>01</w:t>
      </w:r>
      <w:r>
        <w:rPr>
          <w:rFonts w:hint="eastAsia" w:ascii="华文楷体" w:hAnsi="华文楷体" w:eastAsia="华文楷体"/>
          <w:szCs w:val="21"/>
          <w:highlight w:val="none"/>
        </w:rPr>
        <w:t>日始至</w:t>
      </w:r>
      <w:r>
        <w:rPr>
          <w:rFonts w:hint="eastAsia"/>
          <w:szCs w:val="21"/>
          <w:highlight w:val="none"/>
          <w:lang w:val="en-US" w:eastAsia="zh-CN"/>
        </w:rPr>
        <w:t>2026</w:t>
      </w:r>
      <w:r>
        <w:rPr>
          <w:rFonts w:hint="eastAsia" w:ascii="华文楷体" w:hAnsi="华文楷体" w:eastAsia="华文楷体"/>
          <w:szCs w:val="21"/>
          <w:highlight w:val="none"/>
        </w:rPr>
        <w:t>年</w:t>
      </w:r>
      <w:r>
        <w:rPr>
          <w:rFonts w:hint="eastAsia"/>
          <w:szCs w:val="21"/>
          <w:highlight w:val="none"/>
          <w:lang w:val="en-US" w:eastAsia="zh-CN"/>
        </w:rPr>
        <w:t>12</w:t>
      </w:r>
      <w:r>
        <w:rPr>
          <w:rFonts w:hint="eastAsia" w:ascii="华文楷体" w:hAnsi="华文楷体" w:eastAsia="华文楷体"/>
          <w:szCs w:val="21"/>
          <w:highlight w:val="none"/>
        </w:rPr>
        <w:t>月</w:t>
      </w:r>
      <w:r>
        <w:rPr>
          <w:rFonts w:hint="eastAsia"/>
          <w:szCs w:val="21"/>
          <w:highlight w:val="none"/>
          <w:lang w:val="en-US" w:eastAsia="zh-CN"/>
        </w:rPr>
        <w:t>31</w:t>
      </w:r>
      <w:r>
        <w:rPr>
          <w:rFonts w:hint="eastAsia" w:ascii="华文楷体" w:hAnsi="华文楷体" w:eastAsia="华文楷体"/>
          <w:szCs w:val="21"/>
          <w:highlight w:val="none"/>
        </w:rPr>
        <w:t>日</w:t>
      </w:r>
      <w:permEnd w:id="0"/>
      <w:r>
        <w:rPr>
          <w:highlight w:val="none"/>
        </w:rPr>
        <w:t>止。</w:t>
      </w:r>
      <w:r>
        <w:rPr>
          <w:highlight w:val="none"/>
          <w:lang w:eastAsia="zh-CN"/>
        </w:rPr>
        <w:t>如合同期满或甲乙双方合作关系</w:t>
      </w:r>
      <w:r>
        <w:rPr>
          <w:spacing w:val="10"/>
          <w:highlight w:val="none"/>
          <w:lang w:eastAsia="zh-CN"/>
        </w:rPr>
        <w:t>终止，则本合同关于质量与售后的条款依然有</w:t>
      </w:r>
      <w:r>
        <w:rPr>
          <w:spacing w:val="9"/>
          <w:highlight w:val="none"/>
          <w:lang w:eastAsia="zh-CN"/>
        </w:rPr>
        <w:t>效直至交付给甲方的产品质保期满及有关质量问题处理</w:t>
      </w:r>
      <w:r>
        <w:rPr>
          <w:spacing w:val="-2"/>
          <w:highlight w:val="none"/>
          <w:lang w:eastAsia="zh-CN"/>
        </w:rPr>
        <w:t>完毕。</w:t>
      </w:r>
    </w:p>
    <w:p w14:paraId="3FBBA5B9">
      <w:pPr>
        <w:pStyle w:val="2"/>
        <w:numPr>
          <w:ilvl w:val="1"/>
          <w:numId w:val="2"/>
        </w:numPr>
        <w:spacing w:before="126" w:line="288" w:lineRule="auto"/>
        <w:ind w:right="1"/>
        <w:rPr>
          <w:highlight w:val="none"/>
          <w:lang w:eastAsia="zh-CN"/>
        </w:rPr>
      </w:pPr>
      <w:r>
        <w:rPr>
          <w:rFonts w:hint="eastAsia"/>
          <w:highlight w:val="none"/>
          <w:lang w:eastAsia="zh-CN"/>
        </w:rPr>
        <w:t>本合同为非独占性合同，甲方有权指定其他供应商来执行本合同项下的全部或部分服务，有权根据实际经营情况向乙方发出订单，不对委托的业务量做出承诺。</w:t>
      </w:r>
    </w:p>
    <w:p w14:paraId="48AB1FC4">
      <w:pPr>
        <w:pStyle w:val="2"/>
        <w:numPr>
          <w:ilvl w:val="1"/>
          <w:numId w:val="2"/>
        </w:numPr>
        <w:spacing w:before="156" w:line="199" w:lineRule="auto"/>
        <w:rPr>
          <w:highlight w:val="none"/>
        </w:rPr>
      </w:pPr>
      <w:r>
        <w:rPr>
          <w:spacing w:val="3"/>
          <w:highlight w:val="none"/>
        </w:rPr>
        <w:t>关联公司适用条款</w:t>
      </w:r>
    </w:p>
    <w:p w14:paraId="22ED8649">
      <w:pPr>
        <w:pStyle w:val="2"/>
        <w:numPr>
          <w:ilvl w:val="2"/>
          <w:numId w:val="2"/>
        </w:numPr>
        <w:spacing w:before="108" w:line="286" w:lineRule="auto"/>
        <w:ind w:right="1"/>
        <w:rPr>
          <w:highlight w:val="none"/>
          <w:lang w:eastAsia="zh-CN"/>
        </w:rPr>
      </w:pPr>
      <w:r>
        <w:rPr>
          <w:rFonts w:hint="eastAsia"/>
          <w:spacing w:val="7"/>
          <w:highlight w:val="none"/>
          <w:lang w:val="en-US" w:eastAsia="zh-CN"/>
        </w:rPr>
        <w:t xml:space="preserve">    </w:t>
      </w:r>
      <w:r>
        <w:rPr>
          <w:spacing w:val="7"/>
          <w:highlight w:val="none"/>
          <w:lang w:eastAsia="zh-CN"/>
        </w:rPr>
        <w:t>根据业务的需要，在框架合同有效期内甲方关联公司（如有，详见附件，下同）可向乙方</w:t>
      </w:r>
      <w:r>
        <w:rPr>
          <w:spacing w:val="6"/>
          <w:highlight w:val="none"/>
          <w:lang w:eastAsia="zh-CN"/>
        </w:rPr>
        <w:t>下订单或支</w:t>
      </w:r>
      <w:r>
        <w:rPr>
          <w:spacing w:val="8"/>
          <w:highlight w:val="none"/>
          <w:lang w:eastAsia="zh-CN"/>
        </w:rPr>
        <w:t>付合同款项，具体以关联公司与乙方签订的采购订单为准。</w:t>
      </w:r>
    </w:p>
    <w:p w14:paraId="782DB567">
      <w:pPr>
        <w:pStyle w:val="2"/>
        <w:numPr>
          <w:ilvl w:val="2"/>
          <w:numId w:val="2"/>
        </w:numPr>
        <w:spacing w:before="153" w:line="298" w:lineRule="auto"/>
        <w:ind w:right="1"/>
        <w:rPr>
          <w:highlight w:val="none"/>
          <w:lang w:eastAsia="zh-CN"/>
        </w:rPr>
      </w:pPr>
      <w:r>
        <w:rPr>
          <w:rFonts w:hint="eastAsia"/>
          <w:spacing w:val="5"/>
          <w:highlight w:val="none"/>
          <w:lang w:val="en-US" w:eastAsia="zh-CN"/>
        </w:rPr>
        <w:t xml:space="preserve">     </w:t>
      </w:r>
      <w:r>
        <w:rPr>
          <w:spacing w:val="5"/>
          <w:highlight w:val="none"/>
          <w:lang w:eastAsia="zh-CN"/>
        </w:rPr>
        <w:t>针对双方关联公司发生交易的情形，双方同意：出于合作的便</w:t>
      </w:r>
      <w:r>
        <w:rPr>
          <w:spacing w:val="4"/>
          <w:highlight w:val="none"/>
          <w:lang w:eastAsia="zh-CN"/>
        </w:rPr>
        <w:t>利性，甲、乙双方互相承诺，本合同内</w:t>
      </w:r>
      <w:r>
        <w:rPr>
          <w:spacing w:val="11"/>
          <w:highlight w:val="none"/>
          <w:lang w:eastAsia="zh-CN"/>
        </w:rPr>
        <w:t>容同样适用于各方关联公司之间发生的合作业</w:t>
      </w:r>
      <w:r>
        <w:rPr>
          <w:spacing w:val="10"/>
          <w:highlight w:val="none"/>
          <w:lang w:eastAsia="zh-CN"/>
        </w:rPr>
        <w:t>务，无需另行签署合同，双方及关联公司在本合同项</w:t>
      </w:r>
      <w:r>
        <w:rPr>
          <w:spacing w:val="9"/>
          <w:highlight w:val="none"/>
          <w:lang w:eastAsia="zh-CN"/>
        </w:rPr>
        <w:t>下发生的具体交易，均适用本合同的权利义务约定，遵照本合同</w:t>
      </w:r>
      <w:r>
        <w:rPr>
          <w:spacing w:val="8"/>
          <w:highlight w:val="none"/>
          <w:lang w:eastAsia="zh-CN"/>
        </w:rPr>
        <w:t>执行。若在合同有效期内，双方附</w:t>
      </w:r>
      <w:r>
        <w:rPr>
          <w:spacing w:val="7"/>
          <w:highlight w:val="none"/>
          <w:lang w:eastAsia="zh-CN"/>
        </w:rPr>
        <w:t>件清单中的公司发生变化时，应及时以书面形式告知对方。</w:t>
      </w:r>
    </w:p>
    <w:p w14:paraId="0DF3C315">
      <w:pPr>
        <w:pStyle w:val="2"/>
        <w:numPr>
          <w:ilvl w:val="2"/>
          <w:numId w:val="2"/>
        </w:numPr>
        <w:spacing w:before="154" w:line="298" w:lineRule="auto"/>
        <w:ind w:right="1"/>
        <w:rPr>
          <w:highlight w:val="none"/>
          <w:lang w:eastAsia="zh-CN"/>
        </w:rPr>
      </w:pPr>
      <w:r>
        <w:rPr>
          <w:rFonts w:hint="eastAsia"/>
          <w:spacing w:val="7"/>
          <w:highlight w:val="none"/>
          <w:lang w:val="en-US" w:eastAsia="zh-CN"/>
        </w:rPr>
        <w:t xml:space="preserve">    </w:t>
      </w:r>
      <w:r>
        <w:rPr>
          <w:spacing w:val="7"/>
          <w:highlight w:val="none"/>
          <w:lang w:eastAsia="zh-CN"/>
        </w:rPr>
        <w:t>发生前述情形，甲乙双方承诺作如下处理：在本合同后增加附件《乙方关联公</w:t>
      </w:r>
      <w:r>
        <w:rPr>
          <w:spacing w:val="6"/>
          <w:highlight w:val="none"/>
          <w:lang w:eastAsia="zh-CN"/>
        </w:rPr>
        <w:t>司》，乙方督促乙方关</w:t>
      </w:r>
      <w:r>
        <w:rPr>
          <w:spacing w:val="8"/>
          <w:highlight w:val="none"/>
          <w:lang w:eastAsia="zh-CN"/>
        </w:rPr>
        <w:t>联公司遵守本《</w:t>
      </w:r>
      <w:r>
        <w:rPr>
          <w:rFonts w:hint="eastAsia"/>
          <w:spacing w:val="8"/>
          <w:highlight w:val="none"/>
          <w:lang w:val="en-US" w:eastAsia="zh-CN"/>
        </w:rPr>
        <w:t>手动液压叉车</w:t>
      </w:r>
      <w:r>
        <w:rPr>
          <w:spacing w:val="8"/>
          <w:highlight w:val="none"/>
          <w:lang w:eastAsia="zh-CN"/>
        </w:rPr>
        <w:t>采购框架合同》，享有本合同规定的权利，履行本合同规定的义务。另外，在实际</w:t>
      </w:r>
      <w:r>
        <w:rPr>
          <w:spacing w:val="10"/>
          <w:highlight w:val="none"/>
          <w:lang w:eastAsia="zh-CN"/>
        </w:rPr>
        <w:t>交易中，如出现乙方关联公司（含日后新增的关联公司）拖欠甲方或甲方关联公司相关费用及违约</w:t>
      </w:r>
      <w:r>
        <w:rPr>
          <w:spacing w:val="5"/>
          <w:highlight w:val="none"/>
          <w:lang w:eastAsia="zh-CN"/>
        </w:rPr>
        <w:t>金的情形，乙方同意协助处理，并承诺对此承担连带责任。</w:t>
      </w:r>
    </w:p>
    <w:p w14:paraId="201AC208">
      <w:pPr>
        <w:pStyle w:val="2"/>
        <w:numPr>
          <w:ilvl w:val="0"/>
          <w:numId w:val="1"/>
        </w:numPr>
        <w:rPr>
          <w:b/>
          <w:bCs/>
          <w:highlight w:val="none"/>
        </w:rPr>
      </w:pPr>
      <w:r>
        <w:rPr>
          <w:b/>
          <w:bCs/>
          <w:highlight w:val="none"/>
        </w:rPr>
        <w:t>结算</w:t>
      </w:r>
      <w:r>
        <w:rPr>
          <w:rFonts w:hint="eastAsia"/>
          <w:b/>
          <w:bCs/>
          <w:highlight w:val="none"/>
          <w:lang w:val="en-US" w:eastAsia="zh-CN"/>
        </w:rPr>
        <w:t>及履约保证金</w:t>
      </w:r>
    </w:p>
    <w:p w14:paraId="717DD559">
      <w:pPr>
        <w:pStyle w:val="2"/>
        <w:numPr>
          <w:ilvl w:val="1"/>
          <w:numId w:val="1"/>
        </w:numPr>
        <w:spacing w:before="153" w:line="275" w:lineRule="auto"/>
        <w:ind w:right="73"/>
        <w:rPr>
          <w:highlight w:val="none"/>
          <w:lang w:eastAsia="zh-CN"/>
        </w:rPr>
      </w:pPr>
      <w:r>
        <w:rPr>
          <w:spacing w:val="7"/>
          <w:highlight w:val="none"/>
          <w:lang w:eastAsia="zh-CN"/>
        </w:rPr>
        <w:t>发票：</w:t>
      </w:r>
      <w:r>
        <w:rPr>
          <w:rFonts w:hint="eastAsia"/>
          <w:spacing w:val="7"/>
          <w:highlight w:val="none"/>
          <w:lang w:eastAsia="zh-CN"/>
        </w:rPr>
        <w:t>乙方向甲方提供税率为</w:t>
      </w:r>
      <w:r>
        <w:rPr>
          <w:rFonts w:hint="eastAsia"/>
          <w:spacing w:val="7"/>
          <w:highlight w:val="none"/>
          <w:lang w:val="en-US" w:eastAsia="zh-CN"/>
        </w:rPr>
        <w:t>13%</w:t>
      </w:r>
      <w:r>
        <w:rPr>
          <w:rFonts w:hint="eastAsia"/>
          <w:spacing w:val="7"/>
          <w:highlight w:val="none"/>
          <w:lang w:eastAsia="zh-CN"/>
        </w:rPr>
        <w:t>的</w:t>
      </w:r>
      <w:r>
        <w:rPr>
          <w:rFonts w:hint="eastAsia"/>
          <w:spacing w:val="7"/>
          <w:highlight w:val="none"/>
          <w:lang w:val="en-US" w:eastAsia="zh-CN"/>
        </w:rPr>
        <w:t>增值税专用发票</w:t>
      </w:r>
      <w:r>
        <w:rPr>
          <w:rFonts w:hint="eastAsia"/>
          <w:spacing w:val="7"/>
          <w:highlight w:val="none"/>
          <w:lang w:eastAsia="zh-CN"/>
        </w:rPr>
        <w:t>，乙方应按照合同要求开具真实有效的发票，乙方须确保发票各项信息的准确性；若所开具的发票错误、发票丢失(因乙方原因)或应甲方需要变更相关信息，乙方应及时补开或重开对应发票</w:t>
      </w:r>
      <w:r>
        <w:rPr>
          <w:spacing w:val="6"/>
          <w:highlight w:val="none"/>
          <w:lang w:eastAsia="zh-CN"/>
        </w:rPr>
        <w:t>。</w:t>
      </w:r>
    </w:p>
    <w:p w14:paraId="1359A861">
      <w:pPr>
        <w:pStyle w:val="2"/>
        <w:numPr>
          <w:ilvl w:val="1"/>
          <w:numId w:val="1"/>
        </w:numPr>
        <w:spacing w:before="153" w:line="275" w:lineRule="auto"/>
        <w:ind w:right="73"/>
        <w:rPr>
          <w:highlight w:val="none"/>
          <w:lang w:eastAsia="zh-CN"/>
        </w:rPr>
      </w:pPr>
      <w:r>
        <w:rPr>
          <w:rFonts w:hint="eastAsia" w:ascii="华文楷体" w:hAnsi="华文楷体" w:eastAsia="华文楷体"/>
          <w:b w:val="0"/>
          <w:bCs w:val="0"/>
          <w:color w:val="auto"/>
          <w:szCs w:val="21"/>
          <w:highlight w:val="none"/>
        </w:rPr>
        <w:t>对账：甲方通过 “供应商平台”向乙方推送采购订单费用账单，乙方应在5个工作日内登录 “供应商平台” 确认费用。</w:t>
      </w:r>
      <w:r>
        <w:rPr>
          <w:rFonts w:hint="eastAsia" w:ascii="华文楷体" w:hAnsi="华文楷体" w:eastAsia="华文楷体"/>
          <w:b/>
          <w:bCs/>
          <w:color w:val="auto"/>
          <w:szCs w:val="21"/>
          <w:highlight w:val="none"/>
        </w:rPr>
        <w:t>若乙方在上述约定的 5 个工作日内，未对甲方推送的账单费用进行任何操作（既未提出异议也未确认费用），则均视为乙方认可甲方推送的订单费用账单，</w:t>
      </w:r>
      <w:r>
        <w:rPr>
          <w:rFonts w:hint="eastAsia" w:ascii="华文楷体" w:hAnsi="华文楷体" w:eastAsia="华文楷体"/>
          <w:b w:val="0"/>
          <w:bCs w:val="0"/>
          <w:color w:val="auto"/>
          <w:szCs w:val="21"/>
          <w:highlight w:val="none"/>
        </w:rPr>
        <w:t>甲方有权不再接受乙方对费用金额后续提出的异议。若乙方对账单费用有异议，需在甲方推送账单信息后的 5 个工作日内提交反馈申请。反馈材料需包含以下内容：A.异议订单费用账单明细清单（标注异议项及理由）。B.费用计算错误的佐证材料（如原合同条款截图、 双方沟通记录、第三方检测 / 交付凭证等）.C.乙方主张的正确费用计算方式及金额。甲方收到乙方反馈材料后，双方应于5个工作日内核对并沟通确认一致。</w:t>
      </w:r>
      <w:r>
        <w:rPr>
          <w:rFonts w:hint="eastAsia" w:ascii="华文楷体" w:hAnsi="华文楷体" w:eastAsia="华文楷体"/>
          <w:b/>
          <w:bCs/>
          <w:color w:val="auto"/>
          <w:szCs w:val="21"/>
          <w:highlight w:val="none"/>
        </w:rPr>
        <w:t>如双方通过沟通核对仍无法达成一致意见，甲方有权暂停向乙方支付订单费用。</w:t>
      </w:r>
    </w:p>
    <w:p w14:paraId="6982DEF3">
      <w:pPr>
        <w:pStyle w:val="2"/>
        <w:numPr>
          <w:ilvl w:val="1"/>
          <w:numId w:val="1"/>
        </w:numPr>
        <w:spacing w:before="134" w:line="266" w:lineRule="auto"/>
        <w:ind w:right="75"/>
        <w:rPr>
          <w:highlight w:val="none"/>
          <w:lang w:eastAsia="zh-CN"/>
        </w:rPr>
      </w:pPr>
      <w:r>
        <w:rPr>
          <w:spacing w:val="6"/>
          <w:highlight w:val="none"/>
          <w:lang w:eastAsia="zh-CN"/>
        </w:rPr>
        <w:t>付款：</w:t>
      </w:r>
      <w:r>
        <w:rPr>
          <w:rFonts w:hint="eastAsia"/>
          <w:spacing w:val="6"/>
          <w:highlight w:val="none"/>
          <w:lang w:eastAsia="zh-CN"/>
        </w:rPr>
        <w:t>乙方交付产品完全符合本合同约定且甲方收到全额合格发票之后</w:t>
      </w:r>
      <w:r>
        <w:rPr>
          <w:rFonts w:hint="eastAsia"/>
          <w:spacing w:val="6"/>
          <w:highlight w:val="none"/>
          <w:lang w:val="en-US" w:eastAsia="zh-CN"/>
        </w:rPr>
        <w:t>60</w:t>
      </w:r>
      <w:r>
        <w:rPr>
          <w:rFonts w:hint="eastAsia"/>
          <w:spacing w:val="6"/>
          <w:highlight w:val="none"/>
          <w:lang w:eastAsia="zh-CN"/>
        </w:rPr>
        <w:t xml:space="preserve">天，甲方向乙方付款，若付款日为非工作日（包括但不限于周末、法定节假日），则甲方付款日顺延至非工作日后的 </w:t>
      </w:r>
      <w:r>
        <w:rPr>
          <w:rFonts w:hint="eastAsia"/>
          <w:spacing w:val="6"/>
          <w:highlight w:val="none"/>
          <w:lang w:val="en-US" w:eastAsia="zh-CN"/>
        </w:rPr>
        <w:t>5</w:t>
      </w:r>
      <w:r>
        <w:rPr>
          <w:rFonts w:hint="eastAsia"/>
          <w:spacing w:val="6"/>
          <w:highlight w:val="none"/>
          <w:lang w:eastAsia="zh-CN"/>
        </w:rPr>
        <w:t>个工作日内。甲方付款的先决条件为收到乙方开具合格发票，若因乙方开县发票不合格或延迟开票，甲方可顺延付款时间且无需承担违约责任。</w:t>
      </w:r>
    </w:p>
    <w:p w14:paraId="67C00406">
      <w:pPr>
        <w:pStyle w:val="2"/>
        <w:numPr>
          <w:ilvl w:val="1"/>
          <w:numId w:val="1"/>
        </w:numPr>
        <w:spacing w:before="154" w:line="266" w:lineRule="auto"/>
        <w:ind w:right="73"/>
        <w:rPr>
          <w:highlight w:val="none"/>
          <w:lang w:eastAsia="zh-CN"/>
        </w:rPr>
      </w:pPr>
      <w:r>
        <w:rPr>
          <w:spacing w:val="6"/>
          <w:highlight w:val="none"/>
          <w:lang w:eastAsia="zh-CN"/>
        </w:rPr>
        <w:t>乙方指定收款账户信息详见本合同首部。乙方保证提供的收款账户信息准确无误，如有变更，应在合</w:t>
      </w:r>
      <w:r>
        <w:rPr>
          <w:spacing w:val="8"/>
          <w:highlight w:val="none"/>
          <w:lang w:eastAsia="zh-CN"/>
        </w:rPr>
        <w:t>同规定的付款时间基础上至少提前十五日以书面方式通知甲</w:t>
      </w:r>
      <w:r>
        <w:rPr>
          <w:spacing w:val="7"/>
          <w:highlight w:val="none"/>
          <w:lang w:eastAsia="zh-CN"/>
        </w:rPr>
        <w:t>方。</w:t>
      </w:r>
    </w:p>
    <w:p w14:paraId="773FD6E9">
      <w:pPr>
        <w:pStyle w:val="2"/>
        <w:numPr>
          <w:ilvl w:val="1"/>
          <w:numId w:val="1"/>
        </w:numPr>
        <w:spacing w:before="161" w:line="197" w:lineRule="auto"/>
        <w:rPr>
          <w:highlight w:val="none"/>
        </w:rPr>
      </w:pPr>
      <w:r>
        <w:rPr>
          <w:spacing w:val="4"/>
          <w:highlight w:val="none"/>
        </w:rPr>
        <w:t>合同价格承诺</w:t>
      </w:r>
    </w:p>
    <w:p w14:paraId="66B03959">
      <w:pPr>
        <w:pStyle w:val="2"/>
        <w:numPr>
          <w:ilvl w:val="2"/>
          <w:numId w:val="1"/>
        </w:numPr>
        <w:spacing w:before="156" w:line="265" w:lineRule="auto"/>
        <w:ind w:right="73"/>
        <w:rPr>
          <w:highlight w:val="none"/>
          <w:lang w:eastAsia="zh-CN"/>
        </w:rPr>
      </w:pPr>
      <w:r>
        <w:rPr>
          <w:rFonts w:hint="eastAsia"/>
          <w:spacing w:val="7"/>
          <w:highlight w:val="none"/>
          <w:lang w:val="en-US" w:eastAsia="zh-CN"/>
        </w:rPr>
        <w:t xml:space="preserve">    </w:t>
      </w:r>
      <w:r>
        <w:rPr>
          <w:spacing w:val="7"/>
          <w:highlight w:val="none"/>
          <w:lang w:eastAsia="zh-CN"/>
        </w:rPr>
        <w:t>本合同约定价格只限于合同期限内甲方或</w:t>
      </w:r>
      <w:r>
        <w:rPr>
          <w:rFonts w:hint="eastAsia"/>
          <w:spacing w:val="7"/>
          <w:highlight w:val="none"/>
          <w:lang w:val="en-US" w:eastAsia="zh-CN"/>
        </w:rPr>
        <w:t>甲方</w:t>
      </w:r>
      <w:r>
        <w:rPr>
          <w:spacing w:val="7"/>
          <w:highlight w:val="none"/>
          <w:lang w:eastAsia="zh-CN"/>
        </w:rPr>
        <w:t>关联公司采购乙方产品，甲方关联公司包括但不限于：</w:t>
      </w:r>
    </w:p>
    <w:p w14:paraId="13C605FC">
      <w:pPr>
        <w:pStyle w:val="2"/>
        <w:numPr>
          <w:ilvl w:val="0"/>
          <w:numId w:val="0"/>
        </w:numPr>
        <w:spacing w:before="156" w:line="265" w:lineRule="auto"/>
        <w:ind w:right="73" w:rightChars="0" w:firstLine="1498" w:firstLineChars="700"/>
        <w:rPr>
          <w:highlight w:val="none"/>
          <w:lang w:eastAsia="zh-CN"/>
        </w:rPr>
      </w:pPr>
      <w:r>
        <w:rPr>
          <w:spacing w:val="7"/>
          <w:highlight w:val="none"/>
          <w:lang w:eastAsia="zh-CN"/>
        </w:rPr>
        <w:t>甲方</w:t>
      </w:r>
      <w:r>
        <w:rPr>
          <w:spacing w:val="4"/>
          <w:highlight w:val="none"/>
          <w:lang w:eastAsia="zh-CN"/>
        </w:rPr>
        <w:t>母子公司及其控股公司、分公司。</w:t>
      </w:r>
    </w:p>
    <w:p w14:paraId="69585467">
      <w:pPr>
        <w:pStyle w:val="2"/>
        <w:numPr>
          <w:ilvl w:val="2"/>
          <w:numId w:val="1"/>
        </w:numPr>
        <w:spacing w:before="145" w:line="300" w:lineRule="auto"/>
        <w:ind w:right="73"/>
        <w:rPr>
          <w:highlight w:val="none"/>
          <w:lang w:eastAsia="zh-CN"/>
        </w:rPr>
      </w:pPr>
      <w:r>
        <w:rPr>
          <w:rFonts w:hint="eastAsia"/>
          <w:spacing w:val="6"/>
          <w:highlight w:val="none"/>
          <w:lang w:val="en-US" w:eastAsia="zh-CN"/>
        </w:rPr>
        <w:t xml:space="preserve">     </w:t>
      </w:r>
      <w:r>
        <w:rPr>
          <w:spacing w:val="6"/>
          <w:highlight w:val="none"/>
          <w:lang w:eastAsia="zh-CN"/>
        </w:rPr>
        <w:t>乙方承诺：在本合同的有效期内,乙方保证给甲方提供的价</w:t>
      </w:r>
      <w:r>
        <w:rPr>
          <w:spacing w:val="5"/>
          <w:highlight w:val="none"/>
          <w:lang w:eastAsia="zh-CN"/>
        </w:rPr>
        <w:t>格为“最优价格”,不得高于相同或类似交</w:t>
      </w:r>
      <w:r>
        <w:rPr>
          <w:spacing w:val="7"/>
          <w:highlight w:val="none"/>
          <w:lang w:eastAsia="zh-CN"/>
        </w:rPr>
        <w:t>易条件下其它客户所获取之最低价格。乙方向其他客户提供低于甲方的执行价格时,乙方应当及时将该优惠价格通知甲方,并从甲方下次执行采购时开始执行“最优价</w:t>
      </w:r>
      <w:r>
        <w:rPr>
          <w:spacing w:val="6"/>
          <w:highlight w:val="none"/>
          <w:lang w:eastAsia="zh-CN"/>
        </w:rPr>
        <w:t>格”。双方确认：乙方同第三方的交易所涉及的数量、付款时间等交易条件并不成为影响“最优价格”的因素。</w:t>
      </w:r>
    </w:p>
    <w:p w14:paraId="7625B3D6">
      <w:pPr>
        <w:pStyle w:val="2"/>
        <w:numPr>
          <w:ilvl w:val="0"/>
          <w:numId w:val="0"/>
        </w:numPr>
        <w:spacing w:before="145" w:line="300" w:lineRule="auto"/>
        <w:ind w:right="73" w:rightChars="0"/>
        <w:rPr>
          <w:rFonts w:hint="eastAsia"/>
          <w:highlight w:val="none"/>
          <w:lang w:val="en-US" w:eastAsia="zh-CN"/>
        </w:rPr>
      </w:pPr>
      <w:r>
        <w:rPr>
          <w:rFonts w:hint="eastAsia"/>
          <w:highlight w:val="none"/>
          <w:lang w:val="en-US" w:eastAsia="zh-CN"/>
        </w:rPr>
        <w:t xml:space="preserve">        2.6     履约保证金</w:t>
      </w:r>
    </w:p>
    <w:p w14:paraId="65B8B390">
      <w:pPr>
        <w:pStyle w:val="2"/>
        <w:numPr>
          <w:ilvl w:val="0"/>
          <w:numId w:val="0"/>
        </w:numPr>
        <w:spacing w:before="145" w:line="300" w:lineRule="auto"/>
        <w:ind w:right="73" w:rightChars="0"/>
        <w:rPr>
          <w:rFonts w:hint="eastAsia"/>
          <w:color w:val="auto"/>
          <w:highlight w:val="none"/>
          <w:lang w:val="en-US" w:eastAsia="zh-CN"/>
        </w:rPr>
      </w:pPr>
      <w:r>
        <w:rPr>
          <w:rFonts w:hint="eastAsia"/>
          <w:highlight w:val="none"/>
          <w:lang w:val="en-US" w:eastAsia="zh-CN"/>
        </w:rPr>
        <w:t xml:space="preserve">               </w:t>
      </w:r>
      <w:r>
        <w:rPr>
          <w:rFonts w:hint="eastAsia"/>
          <w:color w:val="auto"/>
          <w:highlight w:val="none"/>
          <w:lang w:val="en-US" w:eastAsia="zh-CN"/>
        </w:rPr>
        <w:t xml:space="preserve"> 2.6.1   乙方向甲方缴纳履约保证金 100000 元。</w:t>
      </w:r>
    </w:p>
    <w:p w14:paraId="4FA2436D">
      <w:pPr>
        <w:pStyle w:val="2"/>
        <w:numPr>
          <w:ilvl w:val="0"/>
          <w:numId w:val="0"/>
        </w:numPr>
        <w:spacing w:before="145" w:line="300" w:lineRule="auto"/>
        <w:ind w:right="73" w:rightChars="0" w:firstLine="800" w:firstLineChars="400"/>
        <w:rPr>
          <w:rFonts w:hint="eastAsia"/>
          <w:color w:val="auto"/>
          <w:highlight w:val="none"/>
          <w:lang w:val="en-US" w:eastAsia="zh-CN"/>
        </w:rPr>
      </w:pPr>
      <w:r>
        <w:rPr>
          <w:rFonts w:hint="eastAsia"/>
          <w:color w:val="auto"/>
          <w:highlight w:val="none"/>
          <w:lang w:val="en-US" w:eastAsia="zh-CN"/>
        </w:rPr>
        <w:t>保证金支付：</w:t>
      </w:r>
    </w:p>
    <w:p w14:paraId="3F7E5C47">
      <w:pPr>
        <w:pStyle w:val="2"/>
        <w:numPr>
          <w:ilvl w:val="0"/>
          <w:numId w:val="0"/>
        </w:numPr>
        <w:spacing w:before="145" w:line="300" w:lineRule="auto"/>
        <w:ind w:left="798" w:leftChars="380" w:right="73" w:rightChars="0" w:firstLine="0" w:firstLineChars="0"/>
        <w:rPr>
          <w:rFonts w:hint="eastAsia"/>
          <w:color w:val="auto"/>
          <w:highlight w:val="none"/>
          <w:lang w:val="en-US" w:eastAsia="zh-CN"/>
        </w:rPr>
      </w:pPr>
      <w:r>
        <w:rPr>
          <w:rFonts w:hint="eastAsia"/>
          <w:color w:val="auto"/>
          <w:highlight w:val="none"/>
          <w:lang w:val="en-US" w:eastAsia="zh-CN"/>
        </w:rPr>
        <w:t>□乙方于本合同签订后7日内支付，否则，乙方每迟延一日，应向甲方支付相当于保证金金额2%的违约金。如乙方迟延支付保证金，甲方有权终止合同。（乙方已缴纳保证金的，适用本合同规定，无需重复缴纳）</w:t>
      </w:r>
    </w:p>
    <w:p w14:paraId="64B4A86F">
      <w:pPr>
        <w:pStyle w:val="2"/>
        <w:numPr>
          <w:ilvl w:val="0"/>
          <w:numId w:val="0"/>
        </w:numPr>
        <w:spacing w:before="145" w:line="300" w:lineRule="auto"/>
        <w:ind w:left="800" w:right="73" w:rightChars="0" w:hanging="800" w:hangingChars="400"/>
        <w:rPr>
          <w:rFonts w:hint="eastAsia"/>
          <w:color w:val="auto"/>
          <w:highlight w:val="none"/>
          <w:lang w:val="en-US" w:eastAsia="zh-CN"/>
        </w:rPr>
      </w:pPr>
      <w:r>
        <w:rPr>
          <w:rFonts w:hint="eastAsia"/>
          <w:color w:val="auto"/>
          <w:highlight w:val="none"/>
          <w:lang w:val="en-US" w:eastAsia="zh-CN"/>
        </w:rPr>
        <w:t xml:space="preserve">                ☑乙方在投标时缴纳的投标保证金100000元自动转为履约保证金，如不足，乙方最迟应在本合同签订后7日内缴纳，每逾期一日以未缴纳履约保证金为基数按照每日千分之三支付违约金。或甲方有权直接在应付乙方货款中扣除对应的金额作为履约保证金。如超过，甲方在合同签订后10日内无息退还多余保证金。</w:t>
      </w:r>
    </w:p>
    <w:p w14:paraId="7ADFA11B">
      <w:pPr>
        <w:pStyle w:val="2"/>
        <w:numPr>
          <w:ilvl w:val="0"/>
          <w:numId w:val="0"/>
        </w:numPr>
        <w:spacing w:before="145" w:line="300" w:lineRule="auto"/>
        <w:ind w:left="1398" w:leftChars="380" w:right="73" w:rightChars="0" w:hanging="600" w:hangingChars="300"/>
        <w:rPr>
          <w:rFonts w:hint="eastAsia"/>
          <w:color w:val="auto"/>
          <w:highlight w:val="none"/>
          <w:lang w:val="en-US" w:eastAsia="zh-CN"/>
        </w:rPr>
      </w:pPr>
      <w:r>
        <w:rPr>
          <w:rFonts w:hint="eastAsia"/>
          <w:color w:val="auto"/>
          <w:highlight w:val="none"/>
          <w:lang w:val="en-US" w:eastAsia="zh-CN"/>
        </w:rPr>
        <w:t>2.6.2    乙方同意，甲方有权从乙方缴纳的履约保证金中扣除合同及附件项下的应付费用、违约金、赔偿金、律师费、诉讼费等费用(冲抵顺序由甲方自行决定) 或乙方应承担的责任及其给甲方造成的任何损害、支出或债务；如甲方未行使本条约定的对“保证金”进行扣付的权利，乙方仍有义务按合同的约定承担逾期付款的支付滞纳金等的违约责任。前述对“保证金”的规定不应影响合同或由法律规定的甲方的任何其它权利和救济。</w:t>
      </w:r>
    </w:p>
    <w:p w14:paraId="15E4638E">
      <w:pPr>
        <w:pStyle w:val="2"/>
        <w:numPr>
          <w:ilvl w:val="0"/>
          <w:numId w:val="0"/>
        </w:numPr>
        <w:spacing w:before="145" w:line="300" w:lineRule="auto"/>
        <w:ind w:left="1398" w:leftChars="380" w:right="73" w:rightChars="0" w:hanging="600" w:hangingChars="300"/>
        <w:rPr>
          <w:rFonts w:hint="eastAsia"/>
          <w:color w:val="auto"/>
          <w:highlight w:val="none"/>
          <w:lang w:val="en-US" w:eastAsia="zh-CN"/>
        </w:rPr>
      </w:pPr>
      <w:r>
        <w:rPr>
          <w:rFonts w:hint="eastAsia"/>
          <w:color w:val="auto"/>
          <w:highlight w:val="none"/>
          <w:lang w:val="en-US" w:eastAsia="zh-CN"/>
        </w:rPr>
        <w:t>2.6.3     如履约保证金不足以支付乙方所有应付款项的，甲方有权从乙方作为供应商与甲方或甲方关联公司签署的其他合同项下的履约保证金中扣除，仍然不足以冲抵合同项下乙方所有应付款项的，乙方应在收到甲方书面通知日起【7】日内向甲方另行支付差额。</w:t>
      </w:r>
    </w:p>
    <w:p w14:paraId="5DD0C2CC">
      <w:pPr>
        <w:pStyle w:val="2"/>
        <w:numPr>
          <w:ilvl w:val="0"/>
          <w:numId w:val="0"/>
        </w:numPr>
        <w:spacing w:before="145" w:line="300" w:lineRule="auto"/>
        <w:ind w:left="1398" w:leftChars="380" w:right="73" w:rightChars="0" w:hanging="600" w:hangingChars="300"/>
        <w:rPr>
          <w:rFonts w:hint="eastAsia"/>
          <w:color w:val="auto"/>
          <w:highlight w:val="none"/>
          <w:lang w:val="en-US" w:eastAsia="zh-CN"/>
        </w:rPr>
      </w:pPr>
      <w:r>
        <w:rPr>
          <w:rFonts w:hint="eastAsia"/>
          <w:color w:val="auto"/>
          <w:highlight w:val="none"/>
          <w:lang w:val="en-US" w:eastAsia="zh-CN"/>
        </w:rPr>
        <w:t>2.6.4     乙方同意，甲方有权以乙方在本合同项下的履约保证金冲抵乙方在与甲方或甲方关联公司签署的其他合同项下的应付款。本合同履约保证金冲抵应付款(包含本合同应付款及其他合同项下的应付款)后，乙方应于收到甲方书面通知之日起【7】日内将履约保证金补足至原数额，乙方未按期补足的，甲方有权单方解除合同，乙方除支付所有应付未付款项外，还应赔偿由此给甲方造成的损失。</w:t>
      </w:r>
    </w:p>
    <w:p w14:paraId="22A2493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300" w:lineRule="auto"/>
        <w:ind w:right="74" w:rightChars="0" w:firstLine="800" w:firstLineChars="400"/>
        <w:textAlignment w:val="baseline"/>
        <w:rPr>
          <w:rFonts w:hint="eastAsia"/>
          <w:color w:val="auto"/>
          <w:highlight w:val="none"/>
          <w:lang w:val="en-US" w:eastAsia="zh-CN"/>
        </w:rPr>
      </w:pPr>
      <w:r>
        <w:rPr>
          <w:rFonts w:hint="eastAsia"/>
          <w:color w:val="auto"/>
          <w:highlight w:val="none"/>
          <w:lang w:val="en-US" w:eastAsia="zh-CN"/>
        </w:rPr>
        <w:t>2.6.5    如乙方单方解除合同或甲方因乙方违约单方解除合同的，甲方无需退还履约保证金，且乙方应承担因解</w:t>
      </w:r>
    </w:p>
    <w:p w14:paraId="31164CF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300" w:lineRule="auto"/>
        <w:ind w:right="74" w:rightChars="0" w:firstLine="1400" w:firstLineChars="700"/>
        <w:textAlignment w:val="baseline"/>
        <w:rPr>
          <w:rFonts w:hint="eastAsia"/>
          <w:color w:val="auto"/>
          <w:highlight w:val="none"/>
          <w:lang w:val="en-US" w:eastAsia="zh-CN"/>
        </w:rPr>
      </w:pPr>
      <w:r>
        <w:rPr>
          <w:rFonts w:hint="eastAsia"/>
          <w:color w:val="auto"/>
          <w:highlight w:val="none"/>
          <w:lang w:val="en-US" w:eastAsia="zh-CN"/>
        </w:rPr>
        <w:t>除合同给甲方造成的全部损失，包括但不限于甲方因重新采购而产生的额外费用、预期利润损失等。</w:t>
      </w:r>
    </w:p>
    <w:p w14:paraId="64DCB0CB">
      <w:pPr>
        <w:pStyle w:val="2"/>
        <w:numPr>
          <w:ilvl w:val="0"/>
          <w:numId w:val="0"/>
        </w:numPr>
        <w:spacing w:before="145" w:line="300" w:lineRule="auto"/>
        <w:ind w:left="1398" w:leftChars="380" w:right="73" w:rightChars="0" w:hanging="600" w:hangingChars="300"/>
        <w:rPr>
          <w:rFonts w:hint="eastAsia"/>
          <w:color w:val="auto"/>
          <w:highlight w:val="none"/>
          <w:lang w:val="en-US" w:eastAsia="zh-CN"/>
        </w:rPr>
      </w:pPr>
      <w:r>
        <w:rPr>
          <w:rFonts w:hint="eastAsia"/>
          <w:color w:val="auto"/>
          <w:highlight w:val="none"/>
          <w:lang w:val="en-US" w:eastAsia="zh-CN"/>
        </w:rPr>
        <w:t>2.6.6    尽管有前述约定，未经甲方书面同意，乙方不得主张以乙方与甲方或甲方关联公司签署的其他合同项下的履约保证金冲抵合同项下的应付款，亦不得主张以本合同项下的履约保证金冲抵乙方与甲方或甲方关联公司签署的其他合同项下的应付款。</w:t>
      </w:r>
    </w:p>
    <w:p w14:paraId="4F417CFD">
      <w:pPr>
        <w:pStyle w:val="2"/>
        <w:numPr>
          <w:ilvl w:val="0"/>
          <w:numId w:val="0"/>
        </w:numPr>
        <w:spacing w:before="145" w:line="300" w:lineRule="auto"/>
        <w:ind w:left="1398" w:leftChars="380" w:right="73" w:rightChars="0" w:hanging="600" w:hangingChars="300"/>
        <w:rPr>
          <w:rFonts w:hint="default"/>
          <w:color w:val="auto"/>
          <w:highlight w:val="none"/>
          <w:lang w:val="en-US" w:eastAsia="zh-CN"/>
        </w:rPr>
      </w:pPr>
      <w:r>
        <w:rPr>
          <w:rFonts w:hint="eastAsia"/>
          <w:color w:val="auto"/>
          <w:highlight w:val="none"/>
          <w:lang w:val="en-US" w:eastAsia="zh-CN"/>
        </w:rPr>
        <w:t>2.6.7     同时满足以下条件，乙方可自行在甲方线上“供应商平台”中操作发起保证金退款，甲方在完成内部审批流程后【10】个工作日内向乙方无息返还剩余履约保证金，否则乙方无权要求甲方退还：①乙方已向甲方支付本合同及其他合同项下所有应付款项；②乙方与甲方合作的所有合同无履约保证金欠款情况；③乙方在合同履行期间无任何违约行为或虽有违约行为但已妥善解决并获得甲方书面认可；④质保期已满产品无质量问题的或出现质量问题但双方已妥善解决的。</w:t>
      </w:r>
    </w:p>
    <w:p w14:paraId="5F4F9E5F">
      <w:pPr>
        <w:pStyle w:val="2"/>
        <w:numPr>
          <w:ilvl w:val="0"/>
          <w:numId w:val="1"/>
        </w:numPr>
        <w:rPr>
          <w:b/>
          <w:bCs/>
          <w:highlight w:val="none"/>
        </w:rPr>
      </w:pPr>
      <w:r>
        <w:rPr>
          <w:b/>
          <w:bCs/>
          <w:highlight w:val="none"/>
        </w:rPr>
        <w:t>交货及运输</w:t>
      </w:r>
    </w:p>
    <w:p w14:paraId="49A9E2F5">
      <w:pPr>
        <w:pStyle w:val="2"/>
        <w:numPr>
          <w:ilvl w:val="1"/>
          <w:numId w:val="1"/>
        </w:numPr>
        <w:spacing w:before="155" w:line="303" w:lineRule="auto"/>
        <w:rPr>
          <w:highlight w:val="none"/>
          <w:lang w:eastAsia="zh-CN"/>
        </w:rPr>
      </w:pPr>
      <w:r>
        <w:rPr>
          <w:rFonts w:hint="eastAsia"/>
          <w:spacing w:val="7"/>
          <w:highlight w:val="none"/>
          <w:lang w:eastAsia="zh-CN"/>
        </w:rPr>
        <w:t>甲方或关联公司根据本合同约定向乙方下达采购订单后，乙方承诺按照甲方工作人员通过电话、QQ、邮件、微信、短信、供应商平台要求的数量、交货时间、交货地点分批次或一次性交付产品。变更的具体交货信息以甲方通知为准。乙方</w:t>
      </w:r>
      <w:r>
        <w:rPr>
          <w:rFonts w:hint="eastAsia"/>
          <w:spacing w:val="6"/>
          <w:highlight w:val="none"/>
          <w:u w:val="none"/>
          <w:lang w:val="en-US" w:eastAsia="zh-CN"/>
        </w:rPr>
        <w:t>在接到订单后25</w:t>
      </w:r>
      <w:r>
        <w:rPr>
          <w:rFonts w:hint="eastAsia"/>
          <w:spacing w:val="6"/>
          <w:highlight w:val="none"/>
          <w:lang w:eastAsia="zh-CN"/>
        </w:rPr>
        <w:t>天内</w:t>
      </w:r>
      <w:r>
        <w:rPr>
          <w:spacing w:val="6"/>
          <w:highlight w:val="none"/>
          <w:lang w:eastAsia="zh-CN"/>
        </w:rPr>
        <w:t>交付产品</w:t>
      </w:r>
      <w:r>
        <w:rPr>
          <w:rFonts w:hint="eastAsia"/>
          <w:spacing w:val="6"/>
          <w:highlight w:val="none"/>
          <w:lang w:eastAsia="zh-CN"/>
        </w:rPr>
        <w:t xml:space="preserve">。乙方供应给甲方的产品，乙方工厂应维持库存为 </w:t>
      </w:r>
      <w:r>
        <w:rPr>
          <w:rFonts w:hint="eastAsia"/>
          <w:spacing w:val="6"/>
          <w:highlight w:val="none"/>
          <w:lang w:val="en-US" w:eastAsia="zh-CN"/>
        </w:rPr>
        <w:t>10</w:t>
      </w:r>
      <w:r>
        <w:rPr>
          <w:rFonts w:hint="eastAsia"/>
          <w:spacing w:val="6"/>
          <w:highlight w:val="none"/>
          <w:lang w:eastAsia="zh-CN"/>
        </w:rPr>
        <w:t xml:space="preserve">00 </w:t>
      </w:r>
      <w:r>
        <w:rPr>
          <w:rFonts w:hint="eastAsia"/>
          <w:spacing w:val="6"/>
          <w:highlight w:val="none"/>
          <w:lang w:val="en-US" w:eastAsia="zh-CN"/>
        </w:rPr>
        <w:t>台</w:t>
      </w:r>
      <w:r>
        <w:rPr>
          <w:rFonts w:hint="eastAsia"/>
          <w:spacing w:val="6"/>
          <w:highlight w:val="none"/>
          <w:lang w:eastAsia="zh-CN"/>
        </w:rPr>
        <w:t>，如甲方单次或单月累积下单超过该库存数量的，产品交付周期按第3.10条款约定执行。</w:t>
      </w:r>
      <w:r>
        <w:rPr>
          <w:spacing w:val="5"/>
          <w:highlight w:val="none"/>
          <w:lang w:eastAsia="zh-CN"/>
        </w:rPr>
        <w:t>若甲方在下达采购订单后需更改交货日期或交货地点，乙方应当采取积极措施，满足交货要求。变更</w:t>
      </w:r>
      <w:r>
        <w:rPr>
          <w:spacing w:val="4"/>
          <w:highlight w:val="none"/>
          <w:lang w:eastAsia="zh-CN"/>
        </w:rPr>
        <w:t>的具体交货信息以甲方通知为准。</w:t>
      </w:r>
      <w:r>
        <w:rPr>
          <w:spacing w:val="8"/>
          <w:highlight w:val="none"/>
          <w:lang w:eastAsia="zh-CN"/>
        </w:rPr>
        <w:t>交货时，双方应签署送货交接单（具体名称以现</w:t>
      </w:r>
      <w:r>
        <w:rPr>
          <w:spacing w:val="7"/>
          <w:highlight w:val="none"/>
          <w:lang w:eastAsia="zh-CN"/>
        </w:rPr>
        <w:t>场交接签署的交接材料为准）。</w:t>
      </w:r>
    </w:p>
    <w:p w14:paraId="2B92CF6A">
      <w:pPr>
        <w:pStyle w:val="2"/>
        <w:numPr>
          <w:ilvl w:val="1"/>
          <w:numId w:val="1"/>
        </w:numPr>
        <w:spacing w:before="79" w:line="308" w:lineRule="auto"/>
        <w:ind w:right="73"/>
        <w:rPr>
          <w:highlight w:val="none"/>
          <w:lang w:eastAsia="zh-CN"/>
        </w:rPr>
      </w:pPr>
      <w:r>
        <w:rPr>
          <w:spacing w:val="7"/>
          <w:highlight w:val="none"/>
          <w:lang w:eastAsia="zh-CN"/>
        </w:rPr>
        <w:t>乙方在合同签订前或为履行本合同，自行或者按照甲方要求制作模具（</w:t>
      </w:r>
      <w:r>
        <w:rPr>
          <w:spacing w:val="6"/>
          <w:highlight w:val="none"/>
          <w:lang w:eastAsia="zh-CN"/>
        </w:rPr>
        <w:t>如有）、样品或进行测试或做</w:t>
      </w:r>
      <w:r>
        <w:rPr>
          <w:spacing w:val="9"/>
          <w:highlight w:val="none"/>
          <w:lang w:eastAsia="zh-CN"/>
        </w:rPr>
        <w:t>其它准备工作产生的费用由乙方自行承担，上述模具所有权属于</w:t>
      </w:r>
      <w:r>
        <w:rPr>
          <w:spacing w:val="8"/>
          <w:highlight w:val="none"/>
          <w:lang w:eastAsia="zh-CN"/>
        </w:rPr>
        <w:t>乙方，样品及测试结果资料乙方赠送</w:t>
      </w:r>
      <w:r>
        <w:rPr>
          <w:spacing w:val="7"/>
          <w:highlight w:val="none"/>
          <w:lang w:eastAsia="zh-CN"/>
        </w:rPr>
        <w:t>给甲方。若涉及各方的知识产权，按知识产权及保密条款的相关约定进行处理，乙方不得超出本合同</w:t>
      </w:r>
      <w:r>
        <w:rPr>
          <w:spacing w:val="5"/>
          <w:highlight w:val="none"/>
          <w:lang w:eastAsia="zh-CN"/>
        </w:rPr>
        <w:t>约定使用前述模具、样品。</w:t>
      </w:r>
    </w:p>
    <w:p w14:paraId="10494070">
      <w:pPr>
        <w:pStyle w:val="2"/>
        <w:numPr>
          <w:ilvl w:val="1"/>
          <w:numId w:val="1"/>
        </w:numPr>
        <w:spacing w:before="159" w:line="199" w:lineRule="auto"/>
        <w:rPr>
          <w:highlight w:val="none"/>
        </w:rPr>
      </w:pPr>
      <w:r>
        <w:rPr>
          <w:spacing w:val="3"/>
          <w:highlight w:val="none"/>
        </w:rPr>
        <w:t>样品确认</w:t>
      </w:r>
    </w:p>
    <w:p w14:paraId="0719B48B">
      <w:pPr>
        <w:pStyle w:val="2"/>
        <w:numPr>
          <w:ilvl w:val="2"/>
          <w:numId w:val="1"/>
        </w:numPr>
        <w:spacing w:before="105" w:line="301" w:lineRule="auto"/>
        <w:ind w:right="73"/>
        <w:rPr>
          <w:spacing w:val="6"/>
          <w:highlight w:val="none"/>
          <w:lang w:eastAsia="zh-CN"/>
        </w:rPr>
      </w:pPr>
      <w:r>
        <w:rPr>
          <w:rFonts w:hint="eastAsia"/>
          <w:spacing w:val="8"/>
          <w:highlight w:val="none"/>
          <w:lang w:val="en-US" w:eastAsia="zh-CN"/>
        </w:rPr>
        <w:t xml:space="preserve">    </w:t>
      </w:r>
      <w:r>
        <w:rPr>
          <w:spacing w:val="6"/>
          <w:highlight w:val="none"/>
          <w:lang w:eastAsia="zh-CN"/>
        </w:rPr>
        <w:t>乙方在新品打样或改型产品小批量验证阶段，应按照甲方要求提交样品或检测报告（检测报告包含但不限于详细列出规格范围、实际的测量值、判定结果），必要时提供第三方检测报告，通过甲方批准后，方可组织批量生产。</w:t>
      </w:r>
      <w:r>
        <w:rPr>
          <w:rFonts w:hint="eastAsia"/>
          <w:spacing w:val="6"/>
          <w:highlight w:val="none"/>
          <w:lang w:val="en-US" w:eastAsia="zh-CN"/>
        </w:rPr>
        <w:t>合同签署后25天内提供样机至甲方指定地址进行</w:t>
      </w:r>
      <w:r>
        <w:rPr>
          <w:rFonts w:hint="eastAsia"/>
          <w:spacing w:val="6"/>
          <w:highlight w:val="none"/>
          <w:lang w:eastAsia="zh-CN"/>
        </w:rPr>
        <w:t>首次样</w:t>
      </w:r>
      <w:r>
        <w:rPr>
          <w:rFonts w:hint="eastAsia"/>
          <w:spacing w:val="6"/>
          <w:highlight w:val="none"/>
          <w:lang w:val="en-US" w:eastAsia="zh-CN"/>
        </w:rPr>
        <w:t>机确认</w:t>
      </w:r>
      <w:r>
        <w:rPr>
          <w:rFonts w:hint="eastAsia"/>
          <w:spacing w:val="6"/>
          <w:highlight w:val="none"/>
          <w:lang w:eastAsia="zh-CN"/>
        </w:rPr>
        <w:t>，如</w:t>
      </w:r>
      <w:r>
        <w:rPr>
          <w:rFonts w:hint="eastAsia"/>
          <w:spacing w:val="6"/>
          <w:highlight w:val="none"/>
          <w:lang w:val="en-US" w:eastAsia="zh-CN"/>
        </w:rPr>
        <w:t>样机</w:t>
      </w:r>
      <w:r>
        <w:rPr>
          <w:rFonts w:hint="eastAsia"/>
          <w:spacing w:val="6"/>
          <w:highlight w:val="none"/>
          <w:lang w:eastAsia="zh-CN"/>
        </w:rPr>
        <w:t>无问题则可批量下单；若首次样</w:t>
      </w:r>
      <w:r>
        <w:rPr>
          <w:rFonts w:hint="eastAsia"/>
          <w:spacing w:val="6"/>
          <w:highlight w:val="none"/>
          <w:lang w:val="en-US" w:eastAsia="zh-CN"/>
        </w:rPr>
        <w:t>机</w:t>
      </w:r>
      <w:r>
        <w:rPr>
          <w:rFonts w:hint="eastAsia"/>
          <w:spacing w:val="6"/>
          <w:highlight w:val="none"/>
          <w:lang w:eastAsia="zh-CN"/>
        </w:rPr>
        <w:t>不合格，乙方须在 3 个工作日内完成整改并重新交付样品做终样确认；终样不合格将自动淘汰，乙方在不合格后3天内将样品拖回，如未按时拖回，视为乙方放弃该批样品所有权，甲方可自行处置。</w:t>
      </w:r>
    </w:p>
    <w:p w14:paraId="518B77EA">
      <w:pPr>
        <w:pStyle w:val="2"/>
        <w:numPr>
          <w:ilvl w:val="2"/>
          <w:numId w:val="1"/>
        </w:numPr>
        <w:spacing w:before="105" w:line="301" w:lineRule="auto"/>
        <w:ind w:right="73"/>
        <w:rPr>
          <w:spacing w:val="6"/>
          <w:highlight w:val="none"/>
          <w:lang w:eastAsia="zh-CN"/>
        </w:rPr>
      </w:pPr>
      <w:r>
        <w:rPr>
          <w:rFonts w:hint="eastAsia"/>
          <w:spacing w:val="6"/>
          <w:highlight w:val="none"/>
          <w:lang w:val="en-US" w:eastAsia="zh-CN"/>
        </w:rPr>
        <w:t xml:space="preserve">    </w:t>
      </w:r>
      <w:r>
        <w:rPr>
          <w:spacing w:val="6"/>
          <w:highlight w:val="none"/>
          <w:lang w:eastAsia="zh-CN"/>
        </w:rPr>
        <w:t>对于产品的一些缺陷，经甲乙双方协商后，由乙方提供限度样品，经甲方权责人员签名认可后，方可用于该缺陷的判定。</w:t>
      </w:r>
    </w:p>
    <w:p w14:paraId="61BDE347">
      <w:pPr>
        <w:pStyle w:val="2"/>
        <w:numPr>
          <w:ilvl w:val="2"/>
          <w:numId w:val="1"/>
        </w:numPr>
        <w:spacing w:before="105" w:line="301" w:lineRule="auto"/>
        <w:ind w:right="73"/>
        <w:rPr>
          <w:spacing w:val="6"/>
          <w:highlight w:val="none"/>
          <w:lang w:eastAsia="zh-CN"/>
        </w:rPr>
      </w:pPr>
      <w:r>
        <w:rPr>
          <w:rFonts w:hint="eastAsia"/>
          <w:spacing w:val="6"/>
          <w:highlight w:val="none"/>
          <w:lang w:val="en-US" w:eastAsia="zh-CN"/>
        </w:rPr>
        <w:t xml:space="preserve">    </w:t>
      </w:r>
      <w:r>
        <w:rPr>
          <w:spacing w:val="6"/>
          <w:highlight w:val="none"/>
          <w:lang w:eastAsia="zh-CN"/>
        </w:rPr>
        <w:t>乙方有责任合理保存样品并使其维持原样。当样品发生变化不再适用时，乙方应提供新样品并向甲</w:t>
      </w:r>
    </w:p>
    <w:p w14:paraId="686B0A2C">
      <w:pPr>
        <w:pStyle w:val="2"/>
        <w:numPr>
          <w:ilvl w:val="0"/>
          <w:numId w:val="0"/>
        </w:numPr>
        <w:spacing w:before="105" w:line="301" w:lineRule="auto"/>
        <w:ind w:right="73" w:rightChars="0" w:firstLine="1484" w:firstLineChars="700"/>
        <w:rPr>
          <w:spacing w:val="6"/>
          <w:highlight w:val="none"/>
          <w:lang w:eastAsia="zh-CN"/>
        </w:rPr>
      </w:pPr>
      <w:r>
        <w:rPr>
          <w:spacing w:val="6"/>
          <w:highlight w:val="none"/>
          <w:lang w:eastAsia="zh-CN"/>
        </w:rPr>
        <w:t>方申请重新签样。</w:t>
      </w:r>
    </w:p>
    <w:p w14:paraId="231AAD4E">
      <w:pPr>
        <w:pStyle w:val="2"/>
        <w:numPr>
          <w:ilvl w:val="2"/>
          <w:numId w:val="1"/>
        </w:numPr>
        <w:spacing w:before="155" w:line="202" w:lineRule="auto"/>
        <w:rPr>
          <w:highlight w:val="none"/>
          <w:lang w:eastAsia="zh-CN"/>
        </w:rPr>
      </w:pPr>
      <w:r>
        <w:rPr>
          <w:rFonts w:hint="eastAsia"/>
          <w:spacing w:val="7"/>
          <w:highlight w:val="none"/>
          <w:lang w:val="en-US" w:eastAsia="zh-CN"/>
        </w:rPr>
        <w:t xml:space="preserve">    </w:t>
      </w:r>
      <w:r>
        <w:rPr>
          <w:spacing w:val="6"/>
          <w:highlight w:val="none"/>
          <w:lang w:eastAsia="zh-CN"/>
        </w:rPr>
        <w:t>如乙方交付产品与样品不符或缺陷超过限度样品，甲方有权按不合格品处理。</w:t>
      </w:r>
    </w:p>
    <w:p w14:paraId="11DEE44E">
      <w:pPr>
        <w:pStyle w:val="2"/>
        <w:numPr>
          <w:ilvl w:val="1"/>
          <w:numId w:val="1"/>
        </w:numPr>
        <w:spacing w:before="128" w:line="202" w:lineRule="auto"/>
        <w:rPr>
          <w:highlight w:val="none"/>
          <w:lang w:eastAsia="zh-CN"/>
        </w:rPr>
      </w:pPr>
      <w:r>
        <w:rPr>
          <w:spacing w:val="7"/>
          <w:highlight w:val="none"/>
          <w:lang w:eastAsia="zh-CN"/>
        </w:rPr>
        <w:t>如甲方提出产品技术要求或改装要求，乙方必须评估制定相应的产品改装方案并经甲方同意后实施。</w:t>
      </w:r>
    </w:p>
    <w:p w14:paraId="55C12E86">
      <w:pPr>
        <w:pStyle w:val="2"/>
        <w:numPr>
          <w:ilvl w:val="1"/>
          <w:numId w:val="1"/>
        </w:numPr>
        <w:spacing w:before="152" w:line="278" w:lineRule="auto"/>
        <w:ind w:right="69"/>
        <w:rPr>
          <w:highlight w:val="none"/>
          <w:lang w:eastAsia="zh-CN"/>
        </w:rPr>
      </w:pPr>
      <w:r>
        <w:rPr>
          <w:spacing w:val="5"/>
          <w:highlight w:val="none"/>
          <w:lang w:eastAsia="zh-CN"/>
        </w:rPr>
        <w:t>乙方在交货前应至少提前3日向甲方提供交货计划并至少提前1日通知甲方收货仓库。乙方送货未提</w:t>
      </w:r>
      <w:r>
        <w:rPr>
          <w:spacing w:val="8"/>
          <w:highlight w:val="none"/>
          <w:lang w:eastAsia="zh-CN"/>
        </w:rPr>
        <w:t>前通知的，会严重增加甲方临时调度人工成本</w:t>
      </w:r>
      <w:r>
        <w:rPr>
          <w:rFonts w:hint="eastAsia"/>
          <w:spacing w:val="8"/>
          <w:highlight w:val="none"/>
          <w:lang w:val="en-US" w:eastAsia="zh-CN"/>
        </w:rPr>
        <w:t>。</w:t>
      </w:r>
      <w:r>
        <w:rPr>
          <w:rFonts w:hint="eastAsia"/>
          <w:spacing w:val="8"/>
          <w:highlight w:val="none"/>
          <w:lang w:eastAsia="zh-CN"/>
        </w:rPr>
        <w:t>乙方未提前预约送货和未系统推送质检单，甲方有权拒绝收货，并要求乙方重新安排送货时间。如甲方接受货物，乙方应支付违约金（首次支付违约金50元；其后每次支付违约金100元）</w:t>
      </w:r>
      <w:r>
        <w:rPr>
          <w:highlight w:val="none"/>
          <w:lang w:eastAsia="zh-CN"/>
        </w:rPr>
        <w:t>，</w:t>
      </w:r>
      <w:r>
        <w:rPr>
          <w:rFonts w:hint="eastAsia" w:ascii="华文楷体" w:hAnsi="华文楷体" w:eastAsia="华文楷体"/>
          <w:szCs w:val="21"/>
          <w:highlight w:val="none"/>
        </w:rPr>
        <w:t>甲方可以直接从</w:t>
      </w:r>
      <w:r>
        <w:rPr>
          <w:rFonts w:hint="eastAsia"/>
          <w:szCs w:val="21"/>
          <w:highlight w:val="none"/>
          <w:lang w:val="en-US" w:eastAsia="zh-CN"/>
        </w:rPr>
        <w:t>应付</w:t>
      </w:r>
      <w:r>
        <w:rPr>
          <w:rFonts w:hint="eastAsia" w:ascii="华文楷体" w:hAnsi="华文楷体" w:eastAsia="华文楷体"/>
          <w:szCs w:val="21"/>
          <w:highlight w:val="none"/>
        </w:rPr>
        <w:t>款中扣除</w:t>
      </w:r>
      <w:r>
        <w:rPr>
          <w:spacing w:val="6"/>
          <w:highlight w:val="none"/>
          <w:lang w:eastAsia="zh-CN"/>
        </w:rPr>
        <w:t>。</w:t>
      </w:r>
    </w:p>
    <w:p w14:paraId="7BE32E40">
      <w:pPr>
        <w:pStyle w:val="2"/>
        <w:numPr>
          <w:ilvl w:val="1"/>
          <w:numId w:val="1"/>
        </w:numPr>
        <w:spacing w:before="157" w:line="304" w:lineRule="auto"/>
        <w:ind w:right="223"/>
        <w:rPr>
          <w:highlight w:val="none"/>
          <w:lang w:eastAsia="zh-CN"/>
        </w:rPr>
      </w:pPr>
      <w:r>
        <w:rPr>
          <w:spacing w:val="5"/>
          <w:highlight w:val="none"/>
          <w:lang w:eastAsia="zh-CN"/>
        </w:rPr>
        <w:t>乙方必须按照双方确定的送货时间、地点、数量按时交货，不得擅自提前、延迟；乙方每批送货产品</w:t>
      </w:r>
      <w:r>
        <w:rPr>
          <w:spacing w:val="7"/>
          <w:highlight w:val="none"/>
          <w:lang w:eastAsia="zh-CN"/>
        </w:rPr>
        <w:t>必须附上送货单，送货单物料编码、物料名称、规格型</w:t>
      </w:r>
      <w:r>
        <w:rPr>
          <w:spacing w:val="6"/>
          <w:highlight w:val="none"/>
          <w:lang w:eastAsia="zh-CN"/>
        </w:rPr>
        <w:t>号等信息须与甲方采购订单记载的品目、数量保持一致，不得少于或超过采购订单中所记载的数量。若因特殊原因不能按时交货，应在约定的交货时间基础上至少提前7日书面通知甲方，经甲方书面确认并回复乙方。</w:t>
      </w:r>
    </w:p>
    <w:p w14:paraId="5CF5495E">
      <w:pPr>
        <w:pStyle w:val="2"/>
        <w:numPr>
          <w:ilvl w:val="1"/>
          <w:numId w:val="1"/>
        </w:numPr>
        <w:spacing w:before="157" w:line="304" w:lineRule="auto"/>
        <w:ind w:right="223"/>
        <w:rPr>
          <w:highlight w:val="none"/>
          <w:lang w:eastAsia="zh-CN"/>
        </w:rPr>
      </w:pPr>
      <w:r>
        <w:rPr>
          <w:rFonts w:hint="eastAsia" w:ascii="华文楷体" w:hAnsi="华文楷体" w:eastAsia="华文楷体"/>
          <w:color w:val="auto"/>
          <w:szCs w:val="21"/>
          <w:highlight w:val="none"/>
        </w:rPr>
        <w:t>在货物交付之前所产生的所有费用</w:t>
      </w:r>
      <w:r>
        <w:rPr>
          <w:rFonts w:hint="eastAsia" w:ascii="华文楷体" w:hAnsi="华文楷体" w:eastAsia="华文楷体"/>
          <w:color w:val="auto"/>
          <w:szCs w:val="21"/>
          <w:highlight w:val="none"/>
          <w:lang w:eastAsia="zh-CN"/>
        </w:rPr>
        <w:t>（</w:t>
      </w:r>
      <w:r>
        <w:rPr>
          <w:rFonts w:hint="eastAsia" w:ascii="华文楷体" w:hAnsi="华文楷体" w:eastAsia="华文楷体"/>
          <w:color w:val="auto"/>
          <w:szCs w:val="21"/>
          <w:highlight w:val="none"/>
          <w:lang w:val="en-US" w:eastAsia="zh-CN"/>
        </w:rPr>
        <w:t>包括装卸费</w:t>
      </w:r>
      <w:r>
        <w:rPr>
          <w:rFonts w:hint="eastAsia" w:ascii="华文楷体" w:hAnsi="华文楷体" w:eastAsia="华文楷体"/>
          <w:color w:val="auto"/>
          <w:szCs w:val="21"/>
          <w:highlight w:val="none"/>
          <w:lang w:eastAsia="zh-CN"/>
        </w:rPr>
        <w:t>）</w:t>
      </w:r>
      <w:r>
        <w:rPr>
          <w:rFonts w:hint="eastAsia" w:ascii="华文楷体" w:hAnsi="华文楷体" w:eastAsia="华文楷体"/>
          <w:color w:val="auto"/>
          <w:szCs w:val="21"/>
          <w:highlight w:val="none"/>
        </w:rPr>
        <w:t>均由乙方承担。除了本合同中已经明确约定好的各项费用之外，甲方无需另行支付除此之外的任何其他费用。</w:t>
      </w:r>
      <w:r>
        <w:rPr>
          <w:rFonts w:hint="eastAsia" w:ascii="华文楷体" w:hAnsi="华文楷体" w:eastAsia="华文楷体"/>
          <w:color w:val="auto"/>
          <w:szCs w:val="21"/>
          <w:highlight w:val="none"/>
          <w:lang w:val="en-US" w:eastAsia="zh-CN"/>
        </w:rPr>
        <w:t>如乙方需要聘请甲方的人员进行装卸的，乙方应向甲方支付</w:t>
      </w:r>
      <w:r>
        <w:rPr>
          <w:rFonts w:hint="eastAsia" w:ascii="华文楷体" w:hAnsi="华文楷体" w:eastAsia="华文楷体"/>
          <w:color w:val="auto"/>
          <w:szCs w:val="21"/>
          <w:highlight w:val="none"/>
        </w:rPr>
        <w:t>装卸费用</w:t>
      </w:r>
      <w:r>
        <w:rPr>
          <w:rFonts w:hint="eastAsia" w:ascii="华文楷体" w:hAnsi="华文楷体" w:eastAsia="华文楷体"/>
          <w:b/>
          <w:bCs/>
          <w:color w:val="auto"/>
          <w:szCs w:val="21"/>
          <w:highlight w:val="none"/>
          <w:u w:val="none"/>
        </w:rPr>
        <w:t>（</w:t>
      </w:r>
      <w:r>
        <w:rPr>
          <w:rFonts w:hint="eastAsia" w:ascii="华文楷体" w:hAnsi="华文楷体" w:eastAsia="华文楷体"/>
          <w:b/>
          <w:bCs/>
          <w:color w:val="auto"/>
          <w:szCs w:val="21"/>
          <w:highlight w:val="none"/>
          <w:u w:val="none"/>
          <w:lang w:val="en-US" w:eastAsia="zh-CN"/>
        </w:rPr>
        <w:t>包括</w:t>
      </w:r>
      <w:r>
        <w:rPr>
          <w:rFonts w:hint="eastAsia" w:ascii="华文楷体" w:hAnsi="华文楷体" w:eastAsia="华文楷体"/>
          <w:b/>
          <w:bCs/>
          <w:color w:val="auto"/>
          <w:szCs w:val="21"/>
          <w:highlight w:val="none"/>
          <w:u w:val="none"/>
        </w:rPr>
        <w:t>人工费用、装卸设备使用费用以及与之相关的其他各类费用等</w:t>
      </w:r>
      <w:r>
        <w:rPr>
          <w:rFonts w:hint="eastAsia" w:ascii="华文楷体" w:hAnsi="华文楷体" w:eastAsia="华文楷体"/>
          <w:b/>
          <w:bCs/>
          <w:color w:val="auto"/>
          <w:szCs w:val="21"/>
          <w:highlight w:val="none"/>
          <w:u w:val="none"/>
          <w:lang w:eastAsia="zh-CN"/>
        </w:rPr>
        <w:t>，</w:t>
      </w:r>
      <w:r>
        <w:rPr>
          <w:rFonts w:hint="eastAsia" w:ascii="华文楷体" w:hAnsi="华文楷体" w:eastAsia="华文楷体"/>
          <w:b/>
          <w:bCs/>
          <w:color w:val="auto"/>
          <w:szCs w:val="21"/>
          <w:highlight w:val="none"/>
          <w:u w:val="none"/>
          <w:lang w:val="en-US" w:eastAsia="zh-CN"/>
        </w:rPr>
        <w:t>具体装卸费标准以甲方招标项目材料和订单信息为准）</w:t>
      </w:r>
      <w:r>
        <w:rPr>
          <w:rFonts w:hint="eastAsia" w:ascii="华文楷体" w:hAnsi="华文楷体" w:eastAsia="华文楷体"/>
          <w:color w:val="auto"/>
          <w:szCs w:val="21"/>
          <w:highlight w:val="none"/>
          <w:u w:val="none"/>
          <w:lang w:val="en-US" w:eastAsia="zh-CN"/>
        </w:rPr>
        <w:t>，</w:t>
      </w:r>
      <w:r>
        <w:rPr>
          <w:rFonts w:hint="eastAsia" w:ascii="华文楷体" w:hAnsi="华文楷体" w:eastAsia="华文楷体"/>
          <w:color w:val="auto"/>
          <w:szCs w:val="21"/>
          <w:highlight w:val="none"/>
        </w:rPr>
        <w:t>乙方需负责支付在装卸货物过程中所产生的全部相关费用</w:t>
      </w:r>
      <w:r>
        <w:rPr>
          <w:rFonts w:hint="default" w:ascii="华文楷体" w:hAnsi="华文楷体" w:eastAsia="华文楷体"/>
          <w:color w:val="auto"/>
          <w:szCs w:val="21"/>
          <w:highlight w:val="none"/>
          <w:lang w:val="en-US"/>
        </w:rPr>
        <w:t>，</w:t>
      </w:r>
      <w:r>
        <w:rPr>
          <w:rFonts w:hint="eastAsia" w:ascii="华文楷体" w:hAnsi="华文楷体" w:eastAsia="华文楷体"/>
          <w:color w:val="auto"/>
          <w:szCs w:val="21"/>
          <w:highlight w:val="none"/>
        </w:rPr>
        <w:t>确保装卸工作顺利完成，且不得再就装卸费用向甲方另行主张或要求额外补偿</w:t>
      </w:r>
      <w:r>
        <w:rPr>
          <w:rFonts w:hint="eastAsia"/>
          <w:color w:val="auto"/>
          <w:szCs w:val="21"/>
          <w:highlight w:val="none"/>
          <w:lang w:eastAsia="zh-CN"/>
        </w:rPr>
        <w:t>。</w:t>
      </w:r>
    </w:p>
    <w:p w14:paraId="775C298C">
      <w:pPr>
        <w:pStyle w:val="2"/>
        <w:numPr>
          <w:ilvl w:val="1"/>
          <w:numId w:val="1"/>
        </w:numPr>
        <w:spacing w:before="157" w:line="304" w:lineRule="auto"/>
        <w:ind w:right="223"/>
        <w:rPr>
          <w:highlight w:val="none"/>
          <w:lang w:eastAsia="zh-CN"/>
        </w:rPr>
      </w:pPr>
      <w:r>
        <w:rPr>
          <w:spacing w:val="7"/>
          <w:highlight w:val="none"/>
          <w:lang w:eastAsia="zh-CN"/>
        </w:rPr>
        <w:t>货物的所有权、货物的毁损灭失等风险自甲方验收合格并签收货物后由乙方转移到甲方。</w:t>
      </w:r>
    </w:p>
    <w:p w14:paraId="49CC6B18">
      <w:pPr>
        <w:pStyle w:val="2"/>
        <w:numPr>
          <w:ilvl w:val="1"/>
          <w:numId w:val="1"/>
        </w:numPr>
        <w:spacing w:before="108" w:line="312" w:lineRule="auto"/>
        <w:ind w:right="160"/>
        <w:rPr>
          <w:highlight w:val="none"/>
          <w:lang w:eastAsia="zh-CN"/>
        </w:rPr>
      </w:pPr>
      <w:r>
        <w:rPr>
          <w:spacing w:val="6"/>
          <w:highlight w:val="none"/>
          <w:lang w:eastAsia="zh-CN"/>
        </w:rPr>
        <w:t>产品供应保障：质保期内，乙方不得停止生产</w:t>
      </w:r>
      <w:r>
        <w:rPr>
          <w:spacing w:val="5"/>
          <w:highlight w:val="none"/>
          <w:lang w:eastAsia="zh-CN"/>
        </w:rPr>
        <w:t>或停止供应甲方所订的产品及其零配件（</w:t>
      </w:r>
      <w:r>
        <w:rPr>
          <w:rFonts w:hint="eastAsia"/>
          <w:spacing w:val="5"/>
          <w:highlight w:val="none"/>
          <w:lang w:eastAsia="zh-CN"/>
        </w:rPr>
        <w:t>不可抗力除</w:t>
      </w:r>
      <w:r>
        <w:rPr>
          <w:spacing w:val="5"/>
          <w:highlight w:val="none"/>
          <w:lang w:eastAsia="zh-CN"/>
        </w:rPr>
        <w:t>外</w:t>
      </w:r>
      <w:r>
        <w:rPr>
          <w:spacing w:val="-49"/>
          <w:w w:val="93"/>
          <w:highlight w:val="none"/>
          <w:lang w:eastAsia="zh-CN"/>
        </w:rPr>
        <w:t>）；</w:t>
      </w:r>
      <w:r>
        <w:rPr>
          <w:spacing w:val="5"/>
          <w:highlight w:val="none"/>
          <w:lang w:eastAsia="zh-CN"/>
        </w:rPr>
        <w:t>乙方若因自身原因需停止生产或供应，应提前60日书面通知甲方</w:t>
      </w:r>
      <w:r>
        <w:rPr>
          <w:spacing w:val="4"/>
          <w:highlight w:val="none"/>
          <w:lang w:eastAsia="zh-CN"/>
        </w:rPr>
        <w:t>，否则甲方有权提前解除合同，乙方</w:t>
      </w:r>
      <w:r>
        <w:rPr>
          <w:spacing w:val="7"/>
          <w:highlight w:val="none"/>
          <w:lang w:eastAsia="zh-CN"/>
        </w:rPr>
        <w:t>须向甲方支付自停止之日起过去十二个月（无论是否是在合同有效期内）甲方采购总额的20%作</w:t>
      </w:r>
      <w:r>
        <w:rPr>
          <w:spacing w:val="6"/>
          <w:highlight w:val="none"/>
          <w:lang w:eastAsia="zh-CN"/>
        </w:rPr>
        <w:t>为赔</w:t>
      </w:r>
      <w:r>
        <w:rPr>
          <w:spacing w:val="5"/>
          <w:highlight w:val="none"/>
          <w:lang w:eastAsia="zh-CN"/>
        </w:rPr>
        <w:t>偿；同时，甲方可向第三方采购替代性</w:t>
      </w:r>
      <w:r>
        <w:rPr>
          <w:spacing w:val="4"/>
          <w:highlight w:val="none"/>
          <w:lang w:eastAsia="zh-CN"/>
        </w:rPr>
        <w:t>产品，因此增加的费用（含采购价差、运输费用等）由乙方承</w:t>
      </w:r>
      <w:r>
        <w:rPr>
          <w:highlight w:val="none"/>
          <w:lang w:eastAsia="zh-CN"/>
        </w:rPr>
        <w:t>担。</w:t>
      </w:r>
    </w:p>
    <w:p w14:paraId="06DF248D">
      <w:pPr>
        <w:pStyle w:val="2"/>
        <w:numPr>
          <w:ilvl w:val="1"/>
          <w:numId w:val="1"/>
        </w:numPr>
        <w:spacing w:before="108" w:line="312" w:lineRule="auto"/>
        <w:ind w:right="160"/>
        <w:rPr>
          <w:highlight w:val="none"/>
          <w:lang w:eastAsia="zh-CN"/>
        </w:rPr>
      </w:pPr>
      <w:r>
        <w:rPr>
          <w:rFonts w:hint="eastAsia"/>
          <w:highlight w:val="none"/>
          <w:lang w:val="en-US" w:eastAsia="zh-CN"/>
        </w:rPr>
        <w:t>甲方单次或单月累积下单数量超过乙方工厂维持库存时：</w:t>
      </w:r>
    </w:p>
    <w:tbl>
      <w:tblPr>
        <w:tblStyle w:val="11"/>
        <w:tblW w:w="0" w:type="auto"/>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999"/>
        <w:gridCol w:w="3203"/>
      </w:tblGrid>
      <w:tr w14:paraId="79A1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tcPr>
          <w:p w14:paraId="5F5BCD7F">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序号</w:t>
            </w:r>
          </w:p>
        </w:tc>
        <w:tc>
          <w:tcPr>
            <w:tcW w:w="1999" w:type="dxa"/>
          </w:tcPr>
          <w:p w14:paraId="18CB797F">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数量范围</w:t>
            </w:r>
          </w:p>
        </w:tc>
        <w:tc>
          <w:tcPr>
            <w:tcW w:w="3203" w:type="dxa"/>
          </w:tcPr>
          <w:p w14:paraId="56998735">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交期</w:t>
            </w:r>
          </w:p>
        </w:tc>
      </w:tr>
      <w:tr w14:paraId="3FC3A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tcPr>
          <w:p w14:paraId="339A23EE">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1</w:t>
            </w:r>
          </w:p>
        </w:tc>
        <w:tc>
          <w:tcPr>
            <w:tcW w:w="1999" w:type="dxa"/>
          </w:tcPr>
          <w:p w14:paraId="1ADD3EC4">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u w:val="single"/>
                <w:vertAlign w:val="baseline"/>
                <w:lang w:val="en-US" w:eastAsia="zh-CN"/>
              </w:rPr>
              <w:t xml:space="preserve"> 1001 </w:t>
            </w:r>
            <w:r>
              <w:rPr>
                <w:rFonts w:hint="eastAsia"/>
                <w:highlight w:val="none"/>
                <w:u w:val="none"/>
                <w:vertAlign w:val="baseline"/>
                <w:lang w:val="en-US" w:eastAsia="zh-CN"/>
              </w:rPr>
              <w:t>台至</w:t>
            </w:r>
            <w:r>
              <w:rPr>
                <w:rFonts w:hint="eastAsia"/>
                <w:highlight w:val="none"/>
                <w:u w:val="single"/>
                <w:vertAlign w:val="baseline"/>
                <w:lang w:val="en-US" w:eastAsia="zh-CN"/>
              </w:rPr>
              <w:t xml:space="preserve"> 2000 </w:t>
            </w:r>
            <w:r>
              <w:rPr>
                <w:rFonts w:hint="eastAsia"/>
                <w:highlight w:val="none"/>
                <w:u w:val="none"/>
                <w:vertAlign w:val="baseline"/>
                <w:lang w:val="en-US" w:eastAsia="zh-CN"/>
              </w:rPr>
              <w:t>台</w:t>
            </w:r>
          </w:p>
        </w:tc>
        <w:tc>
          <w:tcPr>
            <w:tcW w:w="3203" w:type="dxa"/>
          </w:tcPr>
          <w:p w14:paraId="2EAE2724">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u w:val="single"/>
                <w:vertAlign w:val="baseline"/>
                <w:lang w:val="en-US" w:eastAsia="zh-CN"/>
              </w:rPr>
              <w:t xml:space="preserve"> 30 </w:t>
            </w:r>
            <w:r>
              <w:rPr>
                <w:rFonts w:hint="eastAsia"/>
                <w:highlight w:val="none"/>
                <w:u w:val="none"/>
                <w:vertAlign w:val="baseline"/>
                <w:lang w:val="en-US" w:eastAsia="zh-CN"/>
              </w:rPr>
              <w:t>天</w:t>
            </w:r>
          </w:p>
        </w:tc>
      </w:tr>
      <w:tr w14:paraId="45440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tcPr>
          <w:p w14:paraId="02CE5B34">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2</w:t>
            </w:r>
          </w:p>
        </w:tc>
        <w:tc>
          <w:tcPr>
            <w:tcW w:w="1999" w:type="dxa"/>
          </w:tcPr>
          <w:p w14:paraId="60D9923C">
            <w:pPr>
              <w:pStyle w:val="2"/>
              <w:widowControl w:val="0"/>
              <w:numPr>
                <w:ilvl w:val="-1"/>
                <w:numId w:val="0"/>
              </w:numPr>
              <w:spacing w:before="108" w:line="312" w:lineRule="auto"/>
              <w:ind w:right="160"/>
              <w:jc w:val="center"/>
              <w:rPr>
                <w:highlight w:val="none"/>
                <w:vertAlign w:val="baseline"/>
                <w:lang w:eastAsia="zh-CN"/>
              </w:rPr>
            </w:pPr>
            <w:r>
              <w:rPr>
                <w:rFonts w:hint="eastAsia"/>
                <w:highlight w:val="none"/>
                <w:u w:val="single"/>
                <w:vertAlign w:val="baseline"/>
                <w:lang w:val="en-US" w:eastAsia="zh-CN"/>
              </w:rPr>
              <w:t xml:space="preserve"> 2001 </w:t>
            </w:r>
            <w:r>
              <w:rPr>
                <w:rFonts w:hint="eastAsia"/>
                <w:highlight w:val="none"/>
                <w:u w:val="none"/>
                <w:vertAlign w:val="baseline"/>
                <w:lang w:val="en-US" w:eastAsia="zh-CN"/>
              </w:rPr>
              <w:t>台至3</w:t>
            </w:r>
            <w:r>
              <w:rPr>
                <w:rFonts w:hint="eastAsia"/>
                <w:highlight w:val="none"/>
                <w:u w:val="single"/>
                <w:vertAlign w:val="baseline"/>
                <w:lang w:val="en-US" w:eastAsia="zh-CN"/>
              </w:rPr>
              <w:t xml:space="preserve">000 </w:t>
            </w:r>
            <w:r>
              <w:rPr>
                <w:rFonts w:hint="eastAsia"/>
                <w:highlight w:val="none"/>
                <w:u w:val="none"/>
                <w:vertAlign w:val="baseline"/>
                <w:lang w:val="en-US" w:eastAsia="zh-CN"/>
              </w:rPr>
              <w:t>台</w:t>
            </w:r>
          </w:p>
        </w:tc>
        <w:tc>
          <w:tcPr>
            <w:tcW w:w="3203" w:type="dxa"/>
          </w:tcPr>
          <w:p w14:paraId="2CD3D3CE">
            <w:pPr>
              <w:pStyle w:val="2"/>
              <w:widowControl w:val="0"/>
              <w:numPr>
                <w:ilvl w:val="-1"/>
                <w:numId w:val="0"/>
              </w:numPr>
              <w:spacing w:before="108" w:line="312" w:lineRule="auto"/>
              <w:ind w:right="160"/>
              <w:jc w:val="center"/>
              <w:rPr>
                <w:highlight w:val="none"/>
                <w:vertAlign w:val="baseline"/>
                <w:lang w:eastAsia="zh-CN"/>
              </w:rPr>
            </w:pPr>
            <w:r>
              <w:rPr>
                <w:rFonts w:hint="eastAsia"/>
                <w:highlight w:val="none"/>
                <w:u w:val="single"/>
                <w:vertAlign w:val="baseline"/>
                <w:lang w:val="en-US" w:eastAsia="zh-CN"/>
              </w:rPr>
              <w:t xml:space="preserve"> 35 </w:t>
            </w:r>
            <w:r>
              <w:rPr>
                <w:rFonts w:hint="eastAsia"/>
                <w:highlight w:val="none"/>
                <w:u w:val="none"/>
                <w:vertAlign w:val="baseline"/>
                <w:lang w:val="en-US" w:eastAsia="zh-CN"/>
              </w:rPr>
              <w:t>天</w:t>
            </w:r>
          </w:p>
        </w:tc>
      </w:tr>
      <w:tr w14:paraId="2A733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tcPr>
          <w:p w14:paraId="02E54F63">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3</w:t>
            </w:r>
          </w:p>
        </w:tc>
        <w:tc>
          <w:tcPr>
            <w:tcW w:w="1999" w:type="dxa"/>
          </w:tcPr>
          <w:p w14:paraId="583E21FB">
            <w:pPr>
              <w:pStyle w:val="2"/>
              <w:widowControl w:val="0"/>
              <w:numPr>
                <w:ilvl w:val="-1"/>
                <w:numId w:val="0"/>
              </w:numPr>
              <w:spacing w:before="108" w:line="312" w:lineRule="auto"/>
              <w:ind w:right="160"/>
              <w:jc w:val="center"/>
              <w:rPr>
                <w:rFonts w:hint="eastAsia"/>
                <w:highlight w:val="none"/>
                <w:u w:val="single"/>
                <w:vertAlign w:val="baseline"/>
                <w:lang w:val="en-US" w:eastAsia="zh-CN"/>
              </w:rPr>
            </w:pPr>
            <w:r>
              <w:rPr>
                <w:rFonts w:hint="eastAsia"/>
                <w:highlight w:val="none"/>
                <w:u w:val="single"/>
                <w:vertAlign w:val="baseline"/>
                <w:lang w:val="en-US" w:eastAsia="zh-CN"/>
              </w:rPr>
              <w:t xml:space="preserve">3001 </w:t>
            </w:r>
            <w:r>
              <w:rPr>
                <w:rFonts w:hint="eastAsia"/>
                <w:highlight w:val="none"/>
                <w:u w:val="none"/>
                <w:vertAlign w:val="baseline"/>
                <w:lang w:val="en-US" w:eastAsia="zh-CN"/>
              </w:rPr>
              <w:t>台至50</w:t>
            </w:r>
            <w:r>
              <w:rPr>
                <w:rFonts w:hint="eastAsia"/>
                <w:highlight w:val="none"/>
                <w:u w:val="single"/>
                <w:vertAlign w:val="baseline"/>
                <w:lang w:val="en-US" w:eastAsia="zh-CN"/>
              </w:rPr>
              <w:t xml:space="preserve">00 </w:t>
            </w:r>
            <w:r>
              <w:rPr>
                <w:rFonts w:hint="eastAsia"/>
                <w:highlight w:val="none"/>
                <w:u w:val="none"/>
                <w:vertAlign w:val="baseline"/>
                <w:lang w:val="en-US" w:eastAsia="zh-CN"/>
              </w:rPr>
              <w:t>台</w:t>
            </w:r>
          </w:p>
        </w:tc>
        <w:tc>
          <w:tcPr>
            <w:tcW w:w="3203" w:type="dxa"/>
          </w:tcPr>
          <w:p w14:paraId="090B5C99">
            <w:pPr>
              <w:pStyle w:val="2"/>
              <w:widowControl w:val="0"/>
              <w:numPr>
                <w:ilvl w:val="-1"/>
                <w:numId w:val="0"/>
              </w:numPr>
              <w:spacing w:before="108" w:line="312" w:lineRule="auto"/>
              <w:ind w:right="160"/>
              <w:jc w:val="center"/>
              <w:rPr>
                <w:rFonts w:hint="default"/>
                <w:highlight w:val="none"/>
                <w:u w:val="single"/>
                <w:vertAlign w:val="baseline"/>
                <w:lang w:val="en-US" w:eastAsia="zh-CN"/>
              </w:rPr>
            </w:pPr>
            <w:r>
              <w:rPr>
                <w:rFonts w:hint="eastAsia"/>
                <w:highlight w:val="none"/>
                <w:u w:val="single"/>
                <w:vertAlign w:val="baseline"/>
                <w:lang w:val="en-US" w:eastAsia="zh-CN"/>
              </w:rPr>
              <w:t>40天</w:t>
            </w:r>
          </w:p>
        </w:tc>
      </w:tr>
      <w:tr w14:paraId="54678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tcPr>
          <w:p w14:paraId="74F4027E">
            <w:pPr>
              <w:pStyle w:val="2"/>
              <w:widowControl w:val="0"/>
              <w:numPr>
                <w:ilvl w:val="-1"/>
                <w:numId w:val="0"/>
              </w:numPr>
              <w:spacing w:before="108" w:line="312" w:lineRule="auto"/>
              <w:ind w:right="160"/>
              <w:jc w:val="center"/>
              <w:rPr>
                <w:rFonts w:hint="default"/>
                <w:highlight w:val="none"/>
                <w:vertAlign w:val="baseline"/>
                <w:lang w:val="en-US" w:eastAsia="zh-CN"/>
              </w:rPr>
            </w:pPr>
            <w:r>
              <w:rPr>
                <w:rFonts w:hint="eastAsia"/>
                <w:highlight w:val="none"/>
                <w:vertAlign w:val="baseline"/>
                <w:lang w:val="en-US" w:eastAsia="zh-CN"/>
              </w:rPr>
              <w:t>4</w:t>
            </w:r>
          </w:p>
        </w:tc>
        <w:tc>
          <w:tcPr>
            <w:tcW w:w="1999" w:type="dxa"/>
          </w:tcPr>
          <w:p w14:paraId="65F303CE">
            <w:pPr>
              <w:pStyle w:val="2"/>
              <w:widowControl w:val="0"/>
              <w:numPr>
                <w:ilvl w:val="-1"/>
                <w:numId w:val="0"/>
              </w:numPr>
              <w:spacing w:before="108" w:line="312" w:lineRule="auto"/>
              <w:ind w:right="160"/>
              <w:jc w:val="center"/>
              <w:rPr>
                <w:rFonts w:hint="default"/>
                <w:highlight w:val="none"/>
                <w:u w:val="single"/>
                <w:vertAlign w:val="baseline"/>
                <w:lang w:val="en-US" w:eastAsia="zh-CN"/>
              </w:rPr>
            </w:pPr>
            <w:r>
              <w:rPr>
                <w:rFonts w:hint="eastAsia"/>
                <w:highlight w:val="none"/>
                <w:u w:val="single"/>
                <w:vertAlign w:val="baseline"/>
                <w:lang w:val="en-US" w:eastAsia="zh-CN"/>
              </w:rPr>
              <w:t>5001台至10000台</w:t>
            </w:r>
          </w:p>
        </w:tc>
        <w:tc>
          <w:tcPr>
            <w:tcW w:w="3203" w:type="dxa"/>
          </w:tcPr>
          <w:p w14:paraId="331CB910">
            <w:pPr>
              <w:pStyle w:val="2"/>
              <w:widowControl w:val="0"/>
              <w:numPr>
                <w:ilvl w:val="-1"/>
                <w:numId w:val="0"/>
              </w:numPr>
              <w:spacing w:before="108" w:line="312" w:lineRule="auto"/>
              <w:ind w:right="160"/>
              <w:jc w:val="center"/>
              <w:rPr>
                <w:rFonts w:hint="default"/>
                <w:highlight w:val="none"/>
                <w:u w:val="single"/>
                <w:vertAlign w:val="baseline"/>
                <w:lang w:val="en-US" w:eastAsia="zh-CN"/>
              </w:rPr>
            </w:pPr>
            <w:r>
              <w:rPr>
                <w:rFonts w:hint="eastAsia"/>
                <w:highlight w:val="none"/>
                <w:u w:val="single"/>
                <w:vertAlign w:val="baseline"/>
                <w:lang w:val="en-US" w:eastAsia="zh-CN"/>
              </w:rPr>
              <w:t>50天</w:t>
            </w:r>
          </w:p>
        </w:tc>
      </w:tr>
    </w:tbl>
    <w:p w14:paraId="126F6B72">
      <w:pPr>
        <w:pStyle w:val="2"/>
        <w:numPr>
          <w:ilvl w:val="0"/>
          <w:numId w:val="1"/>
        </w:numPr>
        <w:rPr>
          <w:b/>
          <w:bCs/>
          <w:highlight w:val="none"/>
        </w:rPr>
      </w:pPr>
      <w:r>
        <w:rPr>
          <w:b/>
          <w:bCs/>
          <w:highlight w:val="none"/>
        </w:rPr>
        <w:t>质量与验收</w:t>
      </w:r>
    </w:p>
    <w:p w14:paraId="39197BD6">
      <w:pPr>
        <w:pStyle w:val="2"/>
        <w:numPr>
          <w:ilvl w:val="1"/>
          <w:numId w:val="1"/>
        </w:numPr>
        <w:spacing w:before="161" w:line="198" w:lineRule="auto"/>
        <w:rPr>
          <w:highlight w:val="none"/>
        </w:rPr>
      </w:pPr>
      <w:r>
        <w:rPr>
          <w:spacing w:val="3"/>
          <w:highlight w:val="none"/>
        </w:rPr>
        <w:t>质量标准</w:t>
      </w:r>
    </w:p>
    <w:p w14:paraId="486A4AD2">
      <w:pPr>
        <w:pStyle w:val="2"/>
        <w:numPr>
          <w:ilvl w:val="2"/>
          <w:numId w:val="1"/>
        </w:numPr>
        <w:spacing w:before="109" w:line="296" w:lineRule="auto"/>
        <w:ind w:right="65"/>
        <w:rPr>
          <w:b/>
          <w:bCs/>
          <w:spacing w:val="9"/>
          <w:highlight w:val="none"/>
          <w:lang w:eastAsia="zh-CN"/>
        </w:rPr>
      </w:pPr>
      <w:r>
        <w:rPr>
          <w:rFonts w:hint="eastAsia"/>
          <w:b/>
          <w:bCs/>
          <w:spacing w:val="9"/>
          <w:highlight w:val="none"/>
          <w:lang w:eastAsia="zh-CN"/>
        </w:rPr>
        <w:t>乙方供应的产品质量标准及技术规格应满足国家标准（如有）、地方标准（如有）、行业标准（如有）、厂家有关标准（如有）、样品标准（如有）以及采购订单、本合同相关条款和附件《产品基本信息及验收标准》等载明的要求；如有多个标准或相互冲突的，以本合同标准为准，合同未约定标准的则以最高标准为准。</w:t>
      </w:r>
    </w:p>
    <w:p w14:paraId="7380C5A3">
      <w:pPr>
        <w:pStyle w:val="2"/>
        <w:numPr>
          <w:ilvl w:val="2"/>
          <w:numId w:val="1"/>
        </w:numPr>
        <w:spacing w:before="109" w:line="296" w:lineRule="auto"/>
        <w:ind w:right="65"/>
        <w:rPr>
          <w:highlight w:val="none"/>
          <w:lang w:eastAsia="zh-CN"/>
        </w:rPr>
      </w:pPr>
      <w:r>
        <w:rPr>
          <w:spacing w:val="9"/>
          <w:highlight w:val="none"/>
          <w:lang w:eastAsia="zh-CN"/>
        </w:rPr>
        <w:t>乙方交付的产品须为原厂在送货地认可的原装正品行货（本合同及附件中所称“原厂”是指该货物品牌</w:t>
      </w:r>
      <w:r>
        <w:rPr>
          <w:spacing w:val="5"/>
          <w:highlight w:val="none"/>
          <w:lang w:eastAsia="zh-CN"/>
        </w:rPr>
        <w:t>的授权生产厂家出厂的货物，下同）。</w:t>
      </w:r>
    </w:p>
    <w:p w14:paraId="666E9EC6">
      <w:pPr>
        <w:pStyle w:val="2"/>
        <w:numPr>
          <w:ilvl w:val="2"/>
          <w:numId w:val="1"/>
        </w:numPr>
        <w:spacing w:before="127" w:line="203" w:lineRule="auto"/>
        <w:rPr>
          <w:highlight w:val="none"/>
          <w:lang w:eastAsia="zh-CN"/>
        </w:rPr>
      </w:pPr>
      <w:r>
        <w:rPr>
          <w:spacing w:val="9"/>
          <w:highlight w:val="none"/>
          <w:lang w:eastAsia="zh-CN"/>
        </w:rPr>
        <w:t>产品的外观颜色以双方确定的色版或效果图为准。</w:t>
      </w:r>
    </w:p>
    <w:p w14:paraId="120EBCF3">
      <w:pPr>
        <w:pStyle w:val="2"/>
        <w:numPr>
          <w:ilvl w:val="2"/>
          <w:numId w:val="1"/>
        </w:numPr>
        <w:spacing w:before="156" w:line="202" w:lineRule="auto"/>
        <w:rPr>
          <w:highlight w:val="none"/>
          <w:lang w:eastAsia="zh-CN"/>
        </w:rPr>
      </w:pPr>
      <w:r>
        <w:rPr>
          <w:spacing w:val="8"/>
          <w:highlight w:val="none"/>
          <w:lang w:eastAsia="zh-CN"/>
        </w:rPr>
        <w:t>必须同时满足以上所有标准，凡未</w:t>
      </w:r>
      <w:r>
        <w:rPr>
          <w:spacing w:val="7"/>
          <w:highlight w:val="none"/>
          <w:lang w:eastAsia="zh-CN"/>
        </w:rPr>
        <w:t>达到任何其中一项标准的，均属不合格品。</w:t>
      </w:r>
    </w:p>
    <w:p w14:paraId="27B4578C">
      <w:pPr>
        <w:pStyle w:val="2"/>
        <w:numPr>
          <w:ilvl w:val="1"/>
          <w:numId w:val="1"/>
        </w:numPr>
        <w:spacing w:before="155" w:line="200" w:lineRule="auto"/>
        <w:rPr>
          <w:highlight w:val="none"/>
        </w:rPr>
      </w:pPr>
      <w:r>
        <w:rPr>
          <w:spacing w:val="3"/>
          <w:highlight w:val="none"/>
        </w:rPr>
        <w:t>验收过程</w:t>
      </w:r>
    </w:p>
    <w:p w14:paraId="7ABCD55C">
      <w:pPr>
        <w:pStyle w:val="2"/>
        <w:numPr>
          <w:ilvl w:val="2"/>
          <w:numId w:val="1"/>
        </w:numPr>
        <w:spacing w:before="154" w:line="302" w:lineRule="auto"/>
        <w:rPr>
          <w:highlight w:val="none"/>
          <w:lang w:eastAsia="zh-CN"/>
        </w:rPr>
      </w:pPr>
      <w:r>
        <w:rPr>
          <w:rFonts w:hint="eastAsia"/>
          <w:spacing w:val="5"/>
          <w:highlight w:val="none"/>
          <w:lang w:val="en-US" w:eastAsia="zh-CN"/>
        </w:rPr>
        <w:t xml:space="preserve">    </w:t>
      </w:r>
      <w:r>
        <w:rPr>
          <w:spacing w:val="5"/>
          <w:highlight w:val="none"/>
          <w:lang w:eastAsia="zh-CN"/>
        </w:rPr>
        <w:t>甲方若有要求指定人员在乙方现场进行验货的：产品发货交付前，乙方应至少提</w:t>
      </w:r>
      <w:r>
        <w:rPr>
          <w:spacing w:val="4"/>
          <w:highlight w:val="none"/>
          <w:lang w:eastAsia="zh-CN"/>
        </w:rPr>
        <w:t>前3天通知甲方组织验货，</w:t>
      </w:r>
      <w:r>
        <w:rPr>
          <w:spacing w:val="7"/>
          <w:highlight w:val="none"/>
          <w:lang w:eastAsia="zh-CN"/>
        </w:rPr>
        <w:t>经验货合格或甲方明确回复无需验货后方可发货，但并不代表甲方验收通过，需在到货后进行再次检验。如甲方指定人员在乙方现场进行验货，乙方应提供必要配合(包含但不</w:t>
      </w:r>
      <w:r>
        <w:rPr>
          <w:spacing w:val="6"/>
          <w:highlight w:val="none"/>
          <w:lang w:eastAsia="zh-CN"/>
        </w:rPr>
        <w:t>限于提供待检产品、检验工</w:t>
      </w:r>
      <w:r>
        <w:rPr>
          <w:spacing w:val="7"/>
          <w:highlight w:val="none"/>
          <w:lang w:eastAsia="zh-CN"/>
        </w:rPr>
        <w:t>具设备和检验场所等)。</w:t>
      </w:r>
    </w:p>
    <w:p w14:paraId="65A85B64">
      <w:pPr>
        <w:pStyle w:val="2"/>
        <w:numPr>
          <w:ilvl w:val="2"/>
          <w:numId w:val="1"/>
        </w:numPr>
        <w:spacing w:before="137" w:line="265" w:lineRule="auto"/>
        <w:ind w:right="67"/>
        <w:rPr>
          <w:highlight w:val="none"/>
          <w:lang w:eastAsia="zh-CN"/>
        </w:rPr>
      </w:pPr>
      <w:r>
        <w:rPr>
          <w:rFonts w:hint="eastAsia"/>
          <w:spacing w:val="6"/>
          <w:highlight w:val="none"/>
          <w:lang w:val="en-US" w:eastAsia="zh-CN"/>
        </w:rPr>
        <w:t xml:space="preserve">    </w:t>
      </w:r>
      <w:r>
        <w:rPr>
          <w:spacing w:val="6"/>
          <w:highlight w:val="none"/>
          <w:lang w:eastAsia="zh-CN"/>
        </w:rPr>
        <w:t>到货检验：所有产品外包装为原厂包装且无破</w:t>
      </w:r>
      <w:r>
        <w:rPr>
          <w:spacing w:val="5"/>
          <w:highlight w:val="none"/>
          <w:lang w:eastAsia="zh-CN"/>
        </w:rPr>
        <w:t>损，产品装箱单必须与实物一一对应。乙方或乙方指定人</w:t>
      </w:r>
      <w:r>
        <w:rPr>
          <w:spacing w:val="6"/>
          <w:highlight w:val="none"/>
          <w:lang w:eastAsia="zh-CN"/>
        </w:rPr>
        <w:t>员可依甲方要求到场共同确认外箱序列号与原厂提供清单一致。</w:t>
      </w:r>
    </w:p>
    <w:p w14:paraId="3D781FA4">
      <w:pPr>
        <w:pStyle w:val="2"/>
        <w:numPr>
          <w:ilvl w:val="2"/>
          <w:numId w:val="1"/>
        </w:numPr>
        <w:spacing w:before="108" w:line="286" w:lineRule="auto"/>
        <w:ind w:right="65"/>
        <w:rPr>
          <w:highlight w:val="none"/>
          <w:lang w:eastAsia="zh-CN"/>
        </w:rPr>
      </w:pPr>
      <w:r>
        <w:rPr>
          <w:rFonts w:hint="eastAsia"/>
          <w:spacing w:val="6"/>
          <w:highlight w:val="none"/>
          <w:lang w:val="en-US" w:eastAsia="zh-CN"/>
        </w:rPr>
        <w:t xml:space="preserve">    </w:t>
      </w:r>
      <w:r>
        <w:rPr>
          <w:spacing w:val="6"/>
          <w:highlight w:val="none"/>
          <w:lang w:eastAsia="zh-CN"/>
        </w:rPr>
        <w:t>初步验收方法：验收以抽样检验方式执行，抽样方法由甲方制定（如有</w:t>
      </w:r>
      <w:r>
        <w:rPr>
          <w:spacing w:val="7"/>
          <w:highlight w:val="none"/>
          <w:lang w:eastAsia="zh-CN"/>
        </w:rPr>
        <w:t>），</w:t>
      </w:r>
      <w:r>
        <w:rPr>
          <w:spacing w:val="6"/>
          <w:highlight w:val="none"/>
          <w:lang w:eastAsia="zh-CN"/>
        </w:rPr>
        <w:t>并知会给乙方知晓。</w:t>
      </w:r>
      <w:r>
        <w:rPr>
          <w:spacing w:val="5"/>
          <w:highlight w:val="none"/>
          <w:lang w:eastAsia="zh-CN"/>
        </w:rPr>
        <w:t>若甲方</w:t>
      </w:r>
      <w:r>
        <w:rPr>
          <w:spacing w:val="3"/>
          <w:highlight w:val="none"/>
          <w:lang w:eastAsia="zh-CN"/>
        </w:rPr>
        <w:t>开箱检验：所有产品外表无损伤及使用过痕迹，产品型号、数量、配置与合</w:t>
      </w:r>
      <w:r>
        <w:rPr>
          <w:spacing w:val="2"/>
          <w:highlight w:val="none"/>
          <w:lang w:eastAsia="zh-CN"/>
        </w:rPr>
        <w:t>同一致。</w:t>
      </w:r>
    </w:p>
    <w:p w14:paraId="296BF2BC">
      <w:pPr>
        <w:pStyle w:val="2"/>
        <w:numPr>
          <w:ilvl w:val="2"/>
          <w:numId w:val="1"/>
        </w:numPr>
        <w:spacing w:before="105" w:line="286" w:lineRule="auto"/>
        <w:ind w:right="166"/>
        <w:rPr>
          <w:highlight w:val="none"/>
          <w:lang w:eastAsia="zh-CN"/>
        </w:rPr>
      </w:pPr>
      <w:r>
        <w:rPr>
          <w:rFonts w:hint="eastAsia"/>
          <w:spacing w:val="6"/>
          <w:highlight w:val="none"/>
          <w:lang w:val="en-US" w:eastAsia="zh-CN"/>
        </w:rPr>
        <w:t xml:space="preserve">    </w:t>
      </w:r>
      <w:r>
        <w:rPr>
          <w:spacing w:val="6"/>
          <w:highlight w:val="none"/>
          <w:lang w:eastAsia="zh-CN"/>
        </w:rPr>
        <w:t>产品测试（如有</w:t>
      </w:r>
      <w:r>
        <w:rPr>
          <w:spacing w:val="7"/>
          <w:highlight w:val="none"/>
          <w:lang w:eastAsia="zh-CN"/>
        </w:rPr>
        <w:t>）：</w:t>
      </w:r>
      <w:r>
        <w:rPr>
          <w:spacing w:val="6"/>
          <w:highlight w:val="none"/>
          <w:lang w:eastAsia="zh-CN"/>
        </w:rPr>
        <w:t>从完成初步验收</w:t>
      </w:r>
      <w:r>
        <w:rPr>
          <w:spacing w:val="5"/>
          <w:highlight w:val="none"/>
          <w:lang w:eastAsia="zh-CN"/>
        </w:rPr>
        <w:t>（含安装调试完毕）之日起</w:t>
      </w:r>
      <w:r>
        <w:rPr>
          <w:rFonts w:hint="eastAsia"/>
          <w:spacing w:val="5"/>
          <w:highlight w:val="none"/>
          <w:lang w:val="en-US" w:eastAsia="zh-CN"/>
        </w:rPr>
        <w:t xml:space="preserve"> / </w:t>
      </w:r>
      <w:r>
        <w:rPr>
          <w:spacing w:val="5"/>
          <w:highlight w:val="none"/>
          <w:lang w:eastAsia="zh-CN"/>
        </w:rPr>
        <w:t>日为产品试运行期。此期间内经</w:t>
      </w:r>
      <w:r>
        <w:rPr>
          <w:spacing w:val="7"/>
          <w:highlight w:val="none"/>
          <w:lang w:eastAsia="zh-CN"/>
        </w:rPr>
        <w:t>甲方技术人员鉴定合格且未发生质量问题，则最终验收</w:t>
      </w:r>
      <w:r>
        <w:rPr>
          <w:spacing w:val="6"/>
          <w:highlight w:val="none"/>
          <w:lang w:eastAsia="zh-CN"/>
        </w:rPr>
        <w:t>通过。</w:t>
      </w:r>
    </w:p>
    <w:p w14:paraId="7AB12C63">
      <w:pPr>
        <w:pStyle w:val="2"/>
        <w:numPr>
          <w:ilvl w:val="1"/>
          <w:numId w:val="1"/>
        </w:numPr>
        <w:spacing w:before="151" w:line="267" w:lineRule="auto"/>
        <w:ind w:right="272"/>
        <w:rPr>
          <w:highlight w:val="none"/>
          <w:lang w:eastAsia="zh-CN"/>
        </w:rPr>
      </w:pPr>
      <w:r>
        <w:rPr>
          <w:spacing w:val="6"/>
          <w:highlight w:val="none"/>
          <w:lang w:eastAsia="zh-CN"/>
        </w:rPr>
        <w:t>乙方产品经甲方验收不合格或产品存在其它异常的，甲方有权按下列方式处理，同时乙方应承担甲方</w:t>
      </w:r>
      <w:r>
        <w:rPr>
          <w:spacing w:val="9"/>
          <w:highlight w:val="none"/>
          <w:lang w:eastAsia="zh-CN"/>
        </w:rPr>
        <w:t>在处理产品异常过程中产生的所有费用及相关经济损失：</w:t>
      </w:r>
    </w:p>
    <w:p w14:paraId="44D27333">
      <w:pPr>
        <w:pStyle w:val="2"/>
        <w:numPr>
          <w:ilvl w:val="2"/>
          <w:numId w:val="1"/>
        </w:numPr>
        <w:spacing w:before="105" w:line="286" w:lineRule="auto"/>
        <w:ind w:right="100"/>
        <w:rPr>
          <w:spacing w:val="8"/>
          <w:highlight w:val="none"/>
          <w:lang w:eastAsia="zh-CN"/>
        </w:rPr>
      </w:pPr>
      <w:r>
        <w:rPr>
          <w:spacing w:val="8"/>
          <w:highlight w:val="none"/>
          <w:lang w:eastAsia="zh-CN"/>
        </w:rPr>
        <w:t>乙方应按照甲方要求分析不合格原因，在要求的期限内制定并实施经甲方认可的改善方案或补救措施，并加盖公司公章回传至甲方。甲方接受重做/更换的，乙方应及时落实以满足甲方需求。</w:t>
      </w:r>
      <w:r>
        <w:rPr>
          <w:rFonts w:hint="eastAsia"/>
          <w:spacing w:val="8"/>
          <w:highlight w:val="none"/>
          <w:lang w:eastAsia="zh-CN"/>
        </w:rPr>
        <w:t>重做/更换后交付时间不得晚于重做/更换后甲方要求的交货时间</w:t>
      </w:r>
      <w:r>
        <w:rPr>
          <w:spacing w:val="8"/>
          <w:highlight w:val="none"/>
          <w:lang w:eastAsia="zh-CN"/>
        </w:rPr>
        <w:t>。</w:t>
      </w:r>
    </w:p>
    <w:p w14:paraId="0DAE5C96">
      <w:pPr>
        <w:pStyle w:val="2"/>
        <w:numPr>
          <w:ilvl w:val="2"/>
          <w:numId w:val="1"/>
        </w:numPr>
        <w:spacing w:before="105" w:line="286" w:lineRule="auto"/>
        <w:ind w:right="100"/>
        <w:rPr>
          <w:highlight w:val="none"/>
          <w:lang w:eastAsia="zh-CN"/>
        </w:rPr>
      </w:pPr>
      <w:r>
        <w:rPr>
          <w:rFonts w:hint="eastAsia"/>
          <w:spacing w:val="8"/>
          <w:highlight w:val="none"/>
          <w:lang w:val="en-US" w:eastAsia="zh-CN"/>
        </w:rPr>
        <w:t xml:space="preserve">    </w:t>
      </w:r>
      <w:r>
        <w:rPr>
          <w:spacing w:val="8"/>
          <w:highlight w:val="none"/>
          <w:lang w:eastAsia="zh-CN"/>
        </w:rPr>
        <w:t>甲方不同意重做的或实际不能重做的或重做会影响产品性能/价值的或重做后仍不合格的，甲方有权拒</w:t>
      </w:r>
      <w:r>
        <w:rPr>
          <w:spacing w:val="7"/>
          <w:highlight w:val="none"/>
          <w:lang w:eastAsia="zh-CN"/>
        </w:rPr>
        <w:t>收且按质量条款</w:t>
      </w:r>
      <w:r>
        <w:rPr>
          <w:rFonts w:hint="eastAsia"/>
          <w:spacing w:val="7"/>
          <w:highlight w:val="none"/>
          <w:lang w:eastAsia="zh-CN"/>
        </w:rPr>
        <w:t>处理</w:t>
      </w:r>
      <w:r>
        <w:rPr>
          <w:spacing w:val="7"/>
          <w:highlight w:val="none"/>
          <w:lang w:eastAsia="zh-CN"/>
        </w:rPr>
        <w:t>。乙方应按甲方要求处理不</w:t>
      </w:r>
      <w:r>
        <w:rPr>
          <w:spacing w:val="6"/>
          <w:highlight w:val="none"/>
          <w:lang w:eastAsia="zh-CN"/>
        </w:rPr>
        <w:t>合格品，必要时提供相关不合格品的去向证明。</w:t>
      </w:r>
    </w:p>
    <w:p w14:paraId="70EE585E">
      <w:pPr>
        <w:pStyle w:val="2"/>
        <w:numPr>
          <w:ilvl w:val="2"/>
          <w:numId w:val="1"/>
        </w:numPr>
        <w:spacing w:before="105" w:line="286" w:lineRule="auto"/>
        <w:ind w:right="100"/>
        <w:rPr>
          <w:spacing w:val="8"/>
          <w:highlight w:val="none"/>
          <w:lang w:eastAsia="zh-CN"/>
        </w:rPr>
      </w:pPr>
      <w:r>
        <w:rPr>
          <w:spacing w:val="8"/>
          <w:highlight w:val="none"/>
          <w:lang w:eastAsia="zh-CN"/>
        </w:rPr>
        <w:t>若产品不符合本合同约定或有轻微瑕疵，重做无法应对甲方紧急需求时限的，甲方可以</w:t>
      </w:r>
      <w:r>
        <w:rPr>
          <w:rFonts w:hint="eastAsia"/>
          <w:spacing w:val="8"/>
          <w:highlight w:val="none"/>
          <w:lang w:val="en-US" w:eastAsia="zh-CN"/>
        </w:rPr>
        <w:t>在</w:t>
      </w:r>
      <w:r>
        <w:rPr>
          <w:spacing w:val="8"/>
          <w:highlight w:val="none"/>
          <w:lang w:eastAsia="zh-CN"/>
        </w:rPr>
        <w:t>按质量条款</w:t>
      </w:r>
      <w:r>
        <w:rPr>
          <w:rFonts w:hint="eastAsia"/>
          <w:spacing w:val="8"/>
          <w:highlight w:val="none"/>
          <w:lang w:eastAsia="zh-CN"/>
        </w:rPr>
        <w:t>处理</w:t>
      </w:r>
      <w:r>
        <w:rPr>
          <w:spacing w:val="8"/>
          <w:highlight w:val="none"/>
          <w:lang w:eastAsia="zh-CN"/>
        </w:rPr>
        <w:t>或按双方协商的其它方式处理后予以接受。</w:t>
      </w:r>
    </w:p>
    <w:p w14:paraId="7D73C077">
      <w:pPr>
        <w:pStyle w:val="2"/>
        <w:numPr>
          <w:ilvl w:val="2"/>
          <w:numId w:val="1"/>
        </w:numPr>
        <w:ind w:right="2"/>
        <w:rPr>
          <w:highlight w:val="none"/>
          <w:lang w:eastAsia="zh-CN"/>
        </w:rPr>
      </w:pPr>
      <w:r>
        <w:rPr>
          <w:rFonts w:hint="eastAsia"/>
          <w:spacing w:val="7"/>
          <w:highlight w:val="none"/>
          <w:lang w:val="en-US" w:eastAsia="zh-CN"/>
        </w:rPr>
        <w:t xml:space="preserve">    </w:t>
      </w:r>
      <w:r>
        <w:rPr>
          <w:spacing w:val="7"/>
          <w:highlight w:val="none"/>
          <w:lang w:eastAsia="zh-CN"/>
        </w:rPr>
        <w:t>不良退货：乙方需在5个自然日</w:t>
      </w:r>
      <w:r>
        <w:rPr>
          <w:rFonts w:hint="eastAsia"/>
          <w:spacing w:val="7"/>
          <w:highlight w:val="none"/>
          <w:lang w:val="en-US" w:eastAsia="zh-CN"/>
        </w:rPr>
        <w:t>内</w:t>
      </w:r>
      <w:r>
        <w:rPr>
          <w:spacing w:val="7"/>
          <w:highlight w:val="none"/>
          <w:lang w:eastAsia="zh-CN"/>
        </w:rPr>
        <w:t>从甲</w:t>
      </w:r>
      <w:r>
        <w:rPr>
          <w:spacing w:val="6"/>
          <w:highlight w:val="none"/>
          <w:lang w:eastAsia="zh-CN"/>
        </w:rPr>
        <w:t>方仓库拉走退货物资，超过约定时间甲方无义务保管，造成损失由</w:t>
      </w:r>
      <w:r>
        <w:rPr>
          <w:spacing w:val="1"/>
          <w:highlight w:val="none"/>
          <w:lang w:eastAsia="zh-CN"/>
        </w:rPr>
        <w:t>乙方自行承担。</w:t>
      </w:r>
    </w:p>
    <w:p w14:paraId="14CB81E5">
      <w:pPr>
        <w:pStyle w:val="2"/>
        <w:numPr>
          <w:ilvl w:val="1"/>
          <w:numId w:val="1"/>
        </w:numPr>
        <w:spacing w:before="73" w:line="300" w:lineRule="auto"/>
        <w:ind w:right="158"/>
        <w:rPr>
          <w:highlight w:val="none"/>
          <w:lang w:eastAsia="zh-CN"/>
        </w:rPr>
      </w:pPr>
      <w:r>
        <w:rPr>
          <w:spacing w:val="7"/>
          <w:highlight w:val="none"/>
          <w:lang w:eastAsia="zh-CN"/>
        </w:rPr>
        <w:t>如果产品在交付时未发现质量问题或无法对质量进行判定/测试，在交付后的质保期内（包括使用过程中）才发现存在质量问题或不合格的，按下列方式处理，同时乙方应承担甲方在处理产品异常过程中</w:t>
      </w:r>
      <w:r>
        <w:rPr>
          <w:spacing w:val="8"/>
          <w:highlight w:val="none"/>
          <w:lang w:eastAsia="zh-CN"/>
        </w:rPr>
        <w:t>产生的所有费用及经济损失：</w:t>
      </w:r>
    </w:p>
    <w:p w14:paraId="06650BEF">
      <w:pPr>
        <w:pStyle w:val="2"/>
        <w:numPr>
          <w:ilvl w:val="2"/>
          <w:numId w:val="1"/>
        </w:numPr>
        <w:spacing w:before="106" w:line="308" w:lineRule="auto"/>
        <w:ind w:right="87"/>
        <w:rPr>
          <w:rFonts w:ascii="宋体" w:hAnsi="宋体" w:eastAsia="宋体" w:cs="宋体"/>
          <w:highlight w:val="none"/>
          <w:lang w:eastAsia="zh-CN"/>
        </w:rPr>
      </w:pPr>
      <w:r>
        <w:rPr>
          <w:rFonts w:hint="eastAsia"/>
          <w:spacing w:val="7"/>
          <w:highlight w:val="none"/>
          <w:lang w:val="en-US" w:eastAsia="zh-CN"/>
        </w:rPr>
        <w:t xml:space="preserve">    </w:t>
      </w:r>
      <w:r>
        <w:rPr>
          <w:spacing w:val="7"/>
          <w:highlight w:val="none"/>
          <w:lang w:eastAsia="zh-CN"/>
        </w:rPr>
        <w:t>甲方要求更换的，</w:t>
      </w:r>
      <w:r>
        <w:rPr>
          <w:rFonts w:hint="eastAsia"/>
          <w:spacing w:val="7"/>
          <w:highlight w:val="none"/>
          <w:lang w:eastAsia="zh-CN"/>
        </w:rPr>
        <w:t>乙方直接予以更换无质量问题的新品，并承担更换的费用(包含但不限于返工、运费等)，如给甲方造成损失的，乙方还应予以赔偿；对于已经消耗完毕，或甲方虽未消耗完毕但甲方同意不更换新品而继续使用的，该批次的采购订单已交付或/及已送货部分对应的总费用按附件二《质量问题处理细则》中使用部门投诉约定处理；如有需要乙方退回的款项，甲方可从其它未付货款中直接扣除</w:t>
      </w:r>
      <w:r>
        <w:rPr>
          <w:rFonts w:ascii="宋体" w:hAnsi="宋体" w:eastAsia="宋体" w:cs="宋体"/>
          <w:spacing w:val="4"/>
          <w:highlight w:val="none"/>
          <w:lang w:eastAsia="zh-CN"/>
        </w:rPr>
        <w:t>。</w:t>
      </w:r>
    </w:p>
    <w:p w14:paraId="39F80BB1">
      <w:pPr>
        <w:pStyle w:val="2"/>
        <w:numPr>
          <w:ilvl w:val="2"/>
          <w:numId w:val="1"/>
        </w:numPr>
        <w:spacing w:before="107" w:line="285" w:lineRule="auto"/>
        <w:ind w:right="158"/>
        <w:rPr>
          <w:highlight w:val="none"/>
          <w:lang w:eastAsia="zh-CN"/>
        </w:rPr>
      </w:pPr>
      <w:r>
        <w:rPr>
          <w:rFonts w:hint="eastAsia"/>
          <w:spacing w:val="6"/>
          <w:highlight w:val="none"/>
          <w:lang w:val="en-US" w:eastAsia="zh-CN"/>
        </w:rPr>
        <w:t xml:space="preserve">    </w:t>
      </w:r>
      <w:r>
        <w:rPr>
          <w:spacing w:val="6"/>
          <w:highlight w:val="none"/>
          <w:lang w:eastAsia="zh-CN"/>
        </w:rPr>
        <w:t>大型机械设备类的，乙方直接予以更换新品或进行维修，但</w:t>
      </w:r>
      <w:r>
        <w:rPr>
          <w:spacing w:val="5"/>
          <w:highlight w:val="none"/>
          <w:lang w:eastAsia="zh-CN"/>
        </w:rPr>
        <w:t>同一/同类问题发生两次以上，则</w:t>
      </w:r>
      <w:r>
        <w:rPr>
          <w:rFonts w:hint="eastAsia"/>
          <w:spacing w:val="5"/>
          <w:highlight w:val="none"/>
          <w:lang w:eastAsia="zh-CN"/>
        </w:rPr>
        <w:t>甲方有权要求</w:t>
      </w:r>
      <w:r>
        <w:rPr>
          <w:spacing w:val="5"/>
          <w:highlight w:val="none"/>
          <w:lang w:eastAsia="zh-CN"/>
        </w:rPr>
        <w:t>直接更换</w:t>
      </w:r>
      <w:r>
        <w:rPr>
          <w:spacing w:val="4"/>
          <w:highlight w:val="none"/>
          <w:lang w:eastAsia="zh-CN"/>
        </w:rPr>
        <w:t>新品，不得再继续维修。</w:t>
      </w:r>
    </w:p>
    <w:p w14:paraId="1A62026E">
      <w:pPr>
        <w:pStyle w:val="2"/>
        <w:numPr>
          <w:ilvl w:val="1"/>
          <w:numId w:val="1"/>
        </w:numPr>
        <w:spacing w:before="152" w:line="279" w:lineRule="auto"/>
        <w:ind w:right="160"/>
        <w:rPr>
          <w:highlight w:val="none"/>
          <w:lang w:eastAsia="zh-CN"/>
        </w:rPr>
      </w:pPr>
      <w:r>
        <w:rPr>
          <w:spacing w:val="6"/>
          <w:highlight w:val="none"/>
          <w:lang w:eastAsia="zh-CN"/>
        </w:rPr>
        <w:t>发生前述4.4情形，乙方不能修理或者不能更换的</w:t>
      </w:r>
      <w:r>
        <w:rPr>
          <w:spacing w:val="5"/>
          <w:highlight w:val="none"/>
          <w:lang w:eastAsia="zh-CN"/>
        </w:rPr>
        <w:t>，按不能交货处理，或者甲方据实情自行采取适当补</w:t>
      </w:r>
      <w:r>
        <w:rPr>
          <w:spacing w:val="2"/>
          <w:highlight w:val="none"/>
          <w:lang w:eastAsia="zh-CN"/>
        </w:rPr>
        <w:t>救措施，因此发生的费用（如维修费、运费等）由乙方负担。</w:t>
      </w:r>
    </w:p>
    <w:p w14:paraId="40BE6DAC">
      <w:pPr>
        <w:pStyle w:val="2"/>
        <w:numPr>
          <w:ilvl w:val="0"/>
          <w:numId w:val="1"/>
        </w:numPr>
        <w:rPr>
          <w:b/>
          <w:bCs/>
          <w:highlight w:val="none"/>
        </w:rPr>
      </w:pPr>
      <w:r>
        <w:rPr>
          <w:b/>
          <w:bCs/>
          <w:highlight w:val="none"/>
        </w:rPr>
        <w:t>质量保证期及售后服务</w:t>
      </w:r>
    </w:p>
    <w:p w14:paraId="0BF9A0BA">
      <w:pPr>
        <w:pStyle w:val="2"/>
        <w:numPr>
          <w:ilvl w:val="1"/>
          <w:numId w:val="1"/>
        </w:numPr>
        <w:spacing w:before="154" w:line="204" w:lineRule="auto"/>
        <w:rPr>
          <w:highlight w:val="none"/>
          <w:lang w:eastAsia="zh-CN"/>
        </w:rPr>
      </w:pPr>
      <w:r>
        <w:rPr>
          <w:spacing w:val="5"/>
          <w:highlight w:val="none"/>
          <w:lang w:eastAsia="zh-CN"/>
        </w:rPr>
        <w:t>在产品保修期内，乙方须按照以下服务条款执行。</w:t>
      </w:r>
    </w:p>
    <w:p w14:paraId="4E8FF6A1">
      <w:pPr>
        <w:pStyle w:val="2"/>
        <w:numPr>
          <w:ilvl w:val="2"/>
          <w:numId w:val="1"/>
        </w:numPr>
        <w:spacing w:before="151" w:line="199" w:lineRule="auto"/>
        <w:rPr>
          <w:highlight w:val="none"/>
          <w:lang w:eastAsia="zh-CN"/>
        </w:rPr>
      </w:pPr>
      <w:r>
        <w:rPr>
          <w:spacing w:val="7"/>
          <w:highlight w:val="none"/>
          <w:lang w:eastAsia="zh-CN"/>
        </w:rPr>
        <w:t>异常处理响应按照以下执行：</w:t>
      </w:r>
    </w:p>
    <w:tbl>
      <w:tblPr>
        <w:tblStyle w:val="16"/>
        <w:tblW w:w="8780" w:type="dxa"/>
        <w:tblInd w:w="88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4"/>
        <w:gridCol w:w="1619"/>
        <w:gridCol w:w="2518"/>
        <w:gridCol w:w="3199"/>
      </w:tblGrid>
      <w:tr w14:paraId="089D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444" w:type="dxa"/>
          </w:tcPr>
          <w:p w14:paraId="08084115">
            <w:pPr>
              <w:pStyle w:val="17"/>
              <w:spacing w:before="163" w:line="193" w:lineRule="auto"/>
              <w:ind w:left="314"/>
              <w:rPr>
                <w:highlight w:val="none"/>
              </w:rPr>
            </w:pPr>
            <w:r>
              <w:rPr>
                <w:spacing w:val="5"/>
                <w:highlight w:val="none"/>
              </w:rPr>
              <w:t>服务区域</w:t>
            </w:r>
          </w:p>
        </w:tc>
        <w:tc>
          <w:tcPr>
            <w:tcW w:w="1619" w:type="dxa"/>
          </w:tcPr>
          <w:p w14:paraId="03FF3516">
            <w:pPr>
              <w:pStyle w:val="17"/>
              <w:spacing w:before="169" w:line="188" w:lineRule="auto"/>
              <w:ind w:left="404"/>
              <w:rPr>
                <w:highlight w:val="none"/>
              </w:rPr>
            </w:pPr>
            <w:r>
              <w:rPr>
                <w:spacing w:val="5"/>
                <w:highlight w:val="none"/>
              </w:rPr>
              <w:t>响应方式</w:t>
            </w:r>
          </w:p>
        </w:tc>
        <w:tc>
          <w:tcPr>
            <w:tcW w:w="2518" w:type="dxa"/>
          </w:tcPr>
          <w:p w14:paraId="513AB514">
            <w:pPr>
              <w:pStyle w:val="17"/>
              <w:spacing w:before="173" w:line="185" w:lineRule="auto"/>
              <w:ind w:left="854"/>
              <w:rPr>
                <w:highlight w:val="none"/>
              </w:rPr>
            </w:pPr>
            <w:r>
              <w:rPr>
                <w:spacing w:val="5"/>
                <w:highlight w:val="none"/>
              </w:rPr>
              <w:t>响应时间</w:t>
            </w:r>
          </w:p>
        </w:tc>
        <w:tc>
          <w:tcPr>
            <w:tcW w:w="3199" w:type="dxa"/>
          </w:tcPr>
          <w:p w14:paraId="395B8040">
            <w:pPr>
              <w:pStyle w:val="17"/>
              <w:spacing w:before="169" w:line="188" w:lineRule="auto"/>
              <w:ind w:left="771"/>
              <w:rPr>
                <w:highlight w:val="none"/>
              </w:rPr>
            </w:pPr>
            <w:r>
              <w:rPr>
                <w:spacing w:val="7"/>
                <w:highlight w:val="none"/>
              </w:rPr>
              <w:t>联系人及联系方式</w:t>
            </w:r>
          </w:p>
        </w:tc>
      </w:tr>
      <w:tr w14:paraId="72F93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444" w:type="dxa"/>
            <w:vAlign w:val="center"/>
          </w:tcPr>
          <w:p w14:paraId="00FA3CCB">
            <w:pPr>
              <w:pStyle w:val="17"/>
              <w:spacing w:before="73" w:line="196" w:lineRule="auto"/>
              <w:ind w:left="0"/>
              <w:jc w:val="center"/>
              <w:rPr>
                <w:rFonts w:hint="default" w:eastAsia="华文楷体"/>
                <w:highlight w:val="none"/>
                <w:lang w:val="en-US" w:eastAsia="zh-CN"/>
              </w:rPr>
            </w:pPr>
            <w:r>
              <w:rPr>
                <w:rFonts w:hint="eastAsia"/>
                <w:highlight w:val="none"/>
                <w:lang w:val="en-US" w:eastAsia="zh-CN"/>
              </w:rPr>
              <w:t>全国</w:t>
            </w:r>
          </w:p>
        </w:tc>
        <w:tc>
          <w:tcPr>
            <w:tcW w:w="1619" w:type="dxa"/>
            <w:vAlign w:val="center"/>
          </w:tcPr>
          <w:p w14:paraId="1E8A1AF6">
            <w:pPr>
              <w:pStyle w:val="17"/>
              <w:spacing w:before="72" w:line="194" w:lineRule="auto"/>
              <w:ind w:left="0"/>
              <w:jc w:val="center"/>
              <w:rPr>
                <w:rFonts w:hint="eastAsia" w:eastAsia="华文楷体"/>
                <w:highlight w:val="none"/>
                <w:lang w:val="en-US" w:eastAsia="zh-CN"/>
              </w:rPr>
            </w:pPr>
            <w:r>
              <w:rPr>
                <w:rFonts w:hint="eastAsia"/>
                <w:highlight w:val="none"/>
                <w:lang w:val="en-US" w:eastAsia="zh-CN"/>
              </w:rPr>
              <w:t>电话</w:t>
            </w:r>
          </w:p>
        </w:tc>
        <w:tc>
          <w:tcPr>
            <w:tcW w:w="2518" w:type="dxa"/>
            <w:vAlign w:val="center"/>
          </w:tcPr>
          <w:p w14:paraId="6DA77888">
            <w:pPr>
              <w:pStyle w:val="17"/>
              <w:spacing w:before="72" w:line="197" w:lineRule="auto"/>
              <w:jc w:val="center"/>
              <w:rPr>
                <w:rFonts w:hint="default"/>
                <w:highlight w:val="none"/>
                <w:lang w:val="en-US" w:eastAsia="zh-CN"/>
              </w:rPr>
            </w:pPr>
            <w:r>
              <w:rPr>
                <w:rFonts w:hint="eastAsia"/>
                <w:highlight w:val="none"/>
                <w:lang w:val="en-US" w:eastAsia="zh-CN"/>
              </w:rPr>
              <w:t>半小时</w:t>
            </w:r>
          </w:p>
        </w:tc>
        <w:tc>
          <w:tcPr>
            <w:tcW w:w="3199" w:type="dxa"/>
            <w:vAlign w:val="center"/>
          </w:tcPr>
          <w:p w14:paraId="07ECF8DA">
            <w:pPr>
              <w:pStyle w:val="17"/>
              <w:spacing w:line="227" w:lineRule="auto"/>
              <w:jc w:val="center"/>
              <w:rPr>
                <w:rFonts w:hint="default"/>
                <w:highlight w:val="none"/>
                <w:lang w:val="en-US" w:eastAsia="zh-CN"/>
              </w:rPr>
            </w:pPr>
            <w:r>
              <w:rPr>
                <w:rFonts w:hint="eastAsia"/>
                <w:highlight w:val="none"/>
                <w:lang w:val="en-US" w:eastAsia="zh-CN"/>
              </w:rPr>
              <w:t xml:space="preserve"> </w:t>
            </w:r>
          </w:p>
        </w:tc>
      </w:tr>
    </w:tbl>
    <w:p w14:paraId="2AA7F435">
      <w:pPr>
        <w:pStyle w:val="2"/>
        <w:numPr>
          <w:ilvl w:val="2"/>
          <w:numId w:val="1"/>
        </w:numPr>
        <w:spacing w:before="114" w:line="308" w:lineRule="auto"/>
        <w:ind w:right="158"/>
        <w:rPr>
          <w:highlight w:val="none"/>
          <w:lang w:eastAsia="zh-CN"/>
        </w:rPr>
      </w:pPr>
      <w:r>
        <w:rPr>
          <w:rFonts w:hint="eastAsia"/>
          <w:spacing w:val="6"/>
          <w:highlight w:val="none"/>
          <w:lang w:val="en-US" w:eastAsia="zh-CN"/>
        </w:rPr>
        <w:t xml:space="preserve">    </w:t>
      </w:r>
      <w:r>
        <w:rPr>
          <w:rFonts w:hint="eastAsia"/>
          <w:spacing w:val="6"/>
          <w:highlight w:val="none"/>
          <w:lang w:eastAsia="zh-CN"/>
        </w:rPr>
        <w:t>双方确认终验收合格之日起</w:t>
      </w:r>
      <w:r>
        <w:rPr>
          <w:rFonts w:hint="eastAsia"/>
          <w:spacing w:val="6"/>
          <w:highlight w:val="none"/>
          <w:lang w:val="en-US" w:eastAsia="zh-CN"/>
        </w:rPr>
        <w:t>1</w:t>
      </w:r>
      <w:r>
        <w:rPr>
          <w:rFonts w:hint="eastAsia"/>
          <w:spacing w:val="6"/>
          <w:highlight w:val="none"/>
          <w:lang w:eastAsia="zh-CN"/>
        </w:rPr>
        <w:t>年之内出现</w:t>
      </w:r>
      <w:r>
        <w:rPr>
          <w:rFonts w:hint="eastAsia"/>
          <w:spacing w:val="6"/>
          <w:highlight w:val="none"/>
          <w:lang w:val="en-US" w:eastAsia="zh-CN"/>
        </w:rPr>
        <w:t>产品质量问题</w:t>
      </w:r>
      <w:r>
        <w:rPr>
          <w:rFonts w:hint="eastAsia"/>
          <w:spacing w:val="6"/>
          <w:highlight w:val="none"/>
          <w:lang w:eastAsia="zh-CN"/>
        </w:rPr>
        <w:t>故障，乙方收到甲方的质量反馈或投诉时，</w:t>
      </w:r>
      <w:r>
        <w:rPr>
          <w:rFonts w:hint="eastAsia"/>
          <w:spacing w:val="6"/>
          <w:highlight w:val="none"/>
          <w:lang w:val="en-US" w:eastAsia="zh-CN"/>
        </w:rPr>
        <w:t>乙方需半</w:t>
      </w:r>
      <w:r>
        <w:rPr>
          <w:rFonts w:hint="eastAsia"/>
          <w:spacing w:val="6"/>
          <w:highlight w:val="none"/>
          <w:lang w:eastAsia="zh-CN"/>
        </w:rPr>
        <w:t>小时内提出解决方案，若远程无法解决，</w:t>
      </w:r>
      <w:r>
        <w:rPr>
          <w:rFonts w:hint="eastAsia"/>
          <w:spacing w:val="6"/>
          <w:highlight w:val="none"/>
          <w:lang w:val="en-US" w:eastAsia="zh-CN"/>
        </w:rPr>
        <w:t>乙方应在24小时</w:t>
      </w:r>
      <w:r>
        <w:rPr>
          <w:rFonts w:hint="eastAsia"/>
          <w:spacing w:val="6"/>
          <w:highlight w:val="none"/>
          <w:lang w:eastAsia="zh-CN"/>
        </w:rPr>
        <w:t>内上门，</w:t>
      </w:r>
      <w:r>
        <w:rPr>
          <w:rFonts w:hint="default"/>
          <w:spacing w:val="6"/>
          <w:highlight w:val="none"/>
          <w:lang w:eastAsia="zh-CN"/>
        </w:rPr>
        <w:t>若</w:t>
      </w:r>
      <w:r>
        <w:rPr>
          <w:rFonts w:hint="eastAsia"/>
          <w:spacing w:val="6"/>
          <w:highlight w:val="none"/>
          <w:lang w:val="en-US" w:eastAsia="zh-CN"/>
        </w:rPr>
        <w:t>乙方</w:t>
      </w:r>
      <w:r>
        <w:rPr>
          <w:rFonts w:hint="default"/>
          <w:spacing w:val="6"/>
          <w:highlight w:val="none"/>
          <w:lang w:eastAsia="zh-CN"/>
        </w:rPr>
        <w:t>超5个自然日未</w:t>
      </w:r>
      <w:r>
        <w:rPr>
          <w:rFonts w:hint="eastAsia"/>
          <w:spacing w:val="6"/>
          <w:highlight w:val="none"/>
          <w:lang w:val="en-US" w:eastAsia="zh-CN"/>
        </w:rPr>
        <w:t>维修完成的</w:t>
      </w:r>
      <w:r>
        <w:rPr>
          <w:rFonts w:hint="default"/>
          <w:spacing w:val="6"/>
          <w:highlight w:val="none"/>
          <w:lang w:eastAsia="zh-CN"/>
        </w:rPr>
        <w:t>,</w:t>
      </w:r>
      <w:r>
        <w:rPr>
          <w:rFonts w:hint="eastAsia"/>
          <w:spacing w:val="6"/>
          <w:highlight w:val="none"/>
          <w:lang w:val="en-US" w:eastAsia="zh-CN"/>
        </w:rPr>
        <w:t>乙方</w:t>
      </w:r>
      <w:r>
        <w:rPr>
          <w:rFonts w:hint="default"/>
          <w:spacing w:val="6"/>
          <w:highlight w:val="none"/>
          <w:lang w:eastAsia="zh-CN"/>
        </w:rPr>
        <w:t>需额外提供备用车或提前在</w:t>
      </w:r>
      <w:r>
        <w:rPr>
          <w:rFonts w:hint="eastAsia"/>
          <w:spacing w:val="6"/>
          <w:highlight w:val="none"/>
          <w:lang w:val="en-US" w:eastAsia="zh-CN"/>
        </w:rPr>
        <w:t>甲方</w:t>
      </w:r>
      <w:r>
        <w:rPr>
          <w:rFonts w:hint="default"/>
          <w:spacing w:val="6"/>
          <w:highlight w:val="none"/>
          <w:lang w:eastAsia="zh-CN"/>
        </w:rPr>
        <w:t>指定地址滚动备货常修配件，若未备用车或因</w:t>
      </w:r>
      <w:r>
        <w:rPr>
          <w:rFonts w:hint="eastAsia"/>
          <w:spacing w:val="6"/>
          <w:highlight w:val="none"/>
          <w:lang w:val="en-US" w:eastAsia="zh-CN"/>
        </w:rPr>
        <w:t>乙方</w:t>
      </w:r>
      <w:r>
        <w:rPr>
          <w:rFonts w:hint="default"/>
          <w:spacing w:val="6"/>
          <w:highlight w:val="none"/>
          <w:lang w:eastAsia="zh-CN"/>
        </w:rPr>
        <w:t>未备货配件导致</w:t>
      </w:r>
      <w:r>
        <w:rPr>
          <w:rFonts w:hint="eastAsia"/>
          <w:spacing w:val="6"/>
          <w:highlight w:val="none"/>
          <w:lang w:val="en-US" w:eastAsia="zh-CN"/>
        </w:rPr>
        <w:t>维修时间</w:t>
      </w:r>
      <w:r>
        <w:rPr>
          <w:rFonts w:hint="default"/>
          <w:spacing w:val="6"/>
          <w:highlight w:val="none"/>
          <w:lang w:eastAsia="zh-CN"/>
        </w:rPr>
        <w:t>超过5个自然日的，由</w:t>
      </w:r>
      <w:r>
        <w:rPr>
          <w:rFonts w:hint="eastAsia"/>
          <w:spacing w:val="6"/>
          <w:highlight w:val="none"/>
          <w:lang w:val="en-US" w:eastAsia="zh-CN"/>
        </w:rPr>
        <w:t>乙方</w:t>
      </w:r>
      <w:r>
        <w:rPr>
          <w:rFonts w:hint="default"/>
          <w:spacing w:val="6"/>
          <w:highlight w:val="none"/>
          <w:lang w:eastAsia="zh-CN"/>
        </w:rPr>
        <w:t>按照100元/台/次的标准向</w:t>
      </w:r>
      <w:r>
        <w:rPr>
          <w:rFonts w:hint="eastAsia"/>
          <w:spacing w:val="6"/>
          <w:highlight w:val="none"/>
          <w:lang w:val="en-US" w:eastAsia="zh-CN"/>
        </w:rPr>
        <w:t>甲方</w:t>
      </w:r>
      <w:r>
        <w:rPr>
          <w:rFonts w:hint="default"/>
          <w:spacing w:val="6"/>
          <w:highlight w:val="none"/>
          <w:lang w:eastAsia="zh-CN"/>
        </w:rPr>
        <w:t>支付违约金，每次维修逾期的时间上限设定为 7 个自然日，在逾期未超过 7 个自然日的范畴内，均按照此标准执行。倘若单次维修逾期时长超过了 7 个自然日，那么对于超出 7 个自然日部分的逾期时长，</w:t>
      </w:r>
      <w:r>
        <w:rPr>
          <w:rFonts w:hint="eastAsia"/>
          <w:spacing w:val="6"/>
          <w:highlight w:val="none"/>
          <w:lang w:val="en-US" w:eastAsia="zh-CN"/>
        </w:rPr>
        <w:t>乙方</w:t>
      </w:r>
      <w:r>
        <w:rPr>
          <w:rFonts w:hint="default"/>
          <w:spacing w:val="6"/>
          <w:highlight w:val="none"/>
          <w:lang w:eastAsia="zh-CN"/>
        </w:rPr>
        <w:t>应当按照双倍标准，即 200 元 / 台 / 次向</w:t>
      </w:r>
      <w:r>
        <w:rPr>
          <w:rFonts w:hint="eastAsia"/>
          <w:spacing w:val="6"/>
          <w:highlight w:val="none"/>
          <w:lang w:val="en-US" w:eastAsia="zh-CN"/>
        </w:rPr>
        <w:t>甲方</w:t>
      </w:r>
      <w:r>
        <w:rPr>
          <w:rFonts w:hint="default"/>
          <w:spacing w:val="6"/>
          <w:highlight w:val="none"/>
          <w:lang w:eastAsia="zh-CN"/>
        </w:rPr>
        <w:t>支付违约金，直至该设备维修完成。</w:t>
      </w:r>
      <w:r>
        <w:rPr>
          <w:spacing w:val="9"/>
          <w:highlight w:val="none"/>
          <w:lang w:eastAsia="zh-CN"/>
        </w:rPr>
        <w:t>并立即隔离不良产品（包括原材料、在制品、库存成品的封存控制，避免</w:t>
      </w:r>
      <w:r>
        <w:rPr>
          <w:spacing w:val="8"/>
          <w:highlight w:val="none"/>
          <w:lang w:eastAsia="zh-CN"/>
        </w:rPr>
        <w:t>不良品扩</w:t>
      </w:r>
      <w:r>
        <w:rPr>
          <w:spacing w:val="7"/>
          <w:highlight w:val="none"/>
          <w:lang w:eastAsia="zh-CN"/>
        </w:rPr>
        <w:t>散</w:t>
      </w:r>
      <w:r>
        <w:rPr>
          <w:spacing w:val="10"/>
          <w:highlight w:val="none"/>
          <w:lang w:eastAsia="zh-CN"/>
        </w:rPr>
        <w:t>），</w:t>
      </w:r>
      <w:r>
        <w:rPr>
          <w:spacing w:val="7"/>
          <w:highlight w:val="none"/>
          <w:lang w:eastAsia="zh-CN"/>
        </w:rPr>
        <w:t>采取补救措施以降低甲方的损失。</w:t>
      </w:r>
    </w:p>
    <w:p w14:paraId="5223AB22">
      <w:pPr>
        <w:pStyle w:val="2"/>
        <w:numPr>
          <w:ilvl w:val="2"/>
          <w:numId w:val="1"/>
        </w:numPr>
        <w:spacing w:before="114" w:line="308" w:lineRule="auto"/>
        <w:ind w:right="158"/>
        <w:rPr>
          <w:highlight w:val="none"/>
          <w:lang w:eastAsia="zh-CN"/>
        </w:rPr>
      </w:pPr>
      <w:r>
        <w:rPr>
          <w:rFonts w:hint="eastAsia"/>
          <w:spacing w:val="8"/>
          <w:highlight w:val="none"/>
          <w:lang w:val="en-US" w:eastAsia="zh-CN"/>
        </w:rPr>
        <w:t xml:space="preserve">    </w:t>
      </w:r>
      <w:r>
        <w:rPr>
          <w:spacing w:val="8"/>
          <w:highlight w:val="none"/>
          <w:lang w:eastAsia="zh-CN"/>
        </w:rPr>
        <w:t>若产品质量问题无法通过远程方式解决</w:t>
      </w:r>
      <w:r>
        <w:rPr>
          <w:spacing w:val="7"/>
          <w:highlight w:val="none"/>
          <w:lang w:eastAsia="zh-CN"/>
        </w:rPr>
        <w:t>，乙方应免费维修，维修方式为：</w:t>
      </w:r>
      <w:r>
        <w:rPr>
          <w:rFonts w:hint="eastAsia" w:ascii="MS UI Gothic" w:hAnsi="MS UI Gothic" w:eastAsia="宋体" w:cs="MS UI Gothic"/>
          <w:spacing w:val="7"/>
          <w:highlight w:val="none"/>
          <w:lang w:eastAsia="zh-CN"/>
        </w:rPr>
        <w:t>☑</w:t>
      </w:r>
      <w:r>
        <w:rPr>
          <w:spacing w:val="7"/>
          <w:highlight w:val="none"/>
          <w:lang w:eastAsia="zh-CN"/>
        </w:rPr>
        <w:t>上门</w:t>
      </w:r>
      <w:r>
        <w:rPr>
          <w:rFonts w:hint="eastAsia" w:ascii="MS UI Gothic" w:hAnsi="MS UI Gothic" w:eastAsia="宋体" w:cs="MS UI Gothic"/>
          <w:spacing w:val="7"/>
          <w:highlight w:val="none"/>
          <w:lang w:eastAsia="zh-CN"/>
        </w:rPr>
        <w:t>□</w:t>
      </w:r>
      <w:r>
        <w:rPr>
          <w:spacing w:val="7"/>
          <w:highlight w:val="none"/>
          <w:lang w:eastAsia="zh-CN"/>
        </w:rPr>
        <w:t>送修</w:t>
      </w:r>
      <w:r>
        <w:rPr>
          <w:rFonts w:hint="eastAsia"/>
          <w:spacing w:val="9"/>
          <w:highlight w:val="none"/>
          <w:lang w:eastAsia="zh-CN"/>
        </w:rPr>
        <w:t>。</w:t>
      </w:r>
    </w:p>
    <w:p w14:paraId="48C3E2E5">
      <w:pPr>
        <w:pStyle w:val="2"/>
        <w:numPr>
          <w:ilvl w:val="2"/>
          <w:numId w:val="1"/>
        </w:numPr>
        <w:spacing w:before="114" w:line="308" w:lineRule="auto"/>
        <w:ind w:right="158"/>
        <w:rPr>
          <w:highlight w:val="none"/>
          <w:lang w:eastAsia="zh-CN"/>
        </w:rPr>
      </w:pPr>
      <w:r>
        <w:rPr>
          <w:rFonts w:hint="eastAsia"/>
          <w:spacing w:val="7"/>
          <w:highlight w:val="none"/>
          <w:lang w:val="en-US" w:eastAsia="zh-CN"/>
        </w:rPr>
        <w:t xml:space="preserve">    </w:t>
      </w:r>
      <w:r>
        <w:rPr>
          <w:spacing w:val="7"/>
          <w:highlight w:val="none"/>
          <w:lang w:eastAsia="zh-CN"/>
        </w:rPr>
        <w:t>乙方负责设备软硬件系统（如有）运行的稳</w:t>
      </w:r>
      <w:r>
        <w:rPr>
          <w:spacing w:val="6"/>
          <w:highlight w:val="none"/>
          <w:lang w:eastAsia="zh-CN"/>
        </w:rPr>
        <w:t>定性,负责免费更换硬件故障部件或修改出错的软件系统，</w:t>
      </w:r>
      <w:r>
        <w:rPr>
          <w:spacing w:val="7"/>
          <w:highlight w:val="none"/>
          <w:lang w:eastAsia="zh-CN"/>
        </w:rPr>
        <w:t>负责所有由乙方提供的系统软件及应用软件</w:t>
      </w:r>
      <w:r>
        <w:rPr>
          <w:rFonts w:hint="eastAsia"/>
          <w:spacing w:val="7"/>
          <w:highlight w:val="none"/>
          <w:lang w:val="en-US" w:eastAsia="zh-CN"/>
        </w:rPr>
        <w:t xml:space="preserve"> / </w:t>
      </w:r>
      <w:r>
        <w:rPr>
          <w:spacing w:val="7"/>
          <w:highlight w:val="none"/>
          <w:lang w:eastAsia="zh-CN"/>
        </w:rPr>
        <w:t>年内享有免费升级服务。</w:t>
      </w:r>
    </w:p>
    <w:p w14:paraId="4EA5742C">
      <w:pPr>
        <w:pStyle w:val="2"/>
        <w:numPr>
          <w:ilvl w:val="2"/>
          <w:numId w:val="1"/>
        </w:numPr>
        <w:spacing w:before="114" w:line="308" w:lineRule="auto"/>
        <w:ind w:right="158"/>
        <w:rPr>
          <w:highlight w:val="none"/>
          <w:lang w:eastAsia="zh-CN"/>
        </w:rPr>
      </w:pPr>
      <w:r>
        <w:rPr>
          <w:rFonts w:hint="eastAsia"/>
          <w:spacing w:val="8"/>
          <w:highlight w:val="none"/>
          <w:lang w:val="en-US" w:eastAsia="zh-CN"/>
        </w:rPr>
        <w:t xml:space="preserve">    </w:t>
      </w:r>
      <w:r>
        <w:rPr>
          <w:spacing w:val="8"/>
          <w:highlight w:val="none"/>
          <w:lang w:eastAsia="zh-CN"/>
        </w:rPr>
        <w:t>乙方应免费为甲方提供系统软、硬件应用维护培训。</w:t>
      </w:r>
    </w:p>
    <w:p w14:paraId="6AB19237">
      <w:pPr>
        <w:pStyle w:val="2"/>
        <w:numPr>
          <w:ilvl w:val="2"/>
          <w:numId w:val="1"/>
        </w:numPr>
        <w:spacing w:before="114" w:line="308" w:lineRule="auto"/>
        <w:ind w:right="158"/>
        <w:rPr>
          <w:highlight w:val="none"/>
          <w:lang w:eastAsia="zh-CN"/>
        </w:rPr>
      </w:pPr>
      <w:r>
        <w:rPr>
          <w:rFonts w:hint="eastAsia"/>
          <w:spacing w:val="5"/>
          <w:highlight w:val="none"/>
          <w:lang w:val="en-US" w:eastAsia="zh-CN"/>
        </w:rPr>
        <w:t xml:space="preserve">    </w:t>
      </w:r>
      <w:r>
        <w:rPr>
          <w:spacing w:val="5"/>
          <w:highlight w:val="none"/>
          <w:lang w:eastAsia="zh-CN"/>
        </w:rPr>
        <w:t>质保期：双方确认终验收合格之日起质保</w:t>
      </w:r>
      <w:r>
        <w:rPr>
          <w:rFonts w:hint="eastAsia"/>
          <w:spacing w:val="5"/>
          <w:highlight w:val="none"/>
          <w:lang w:val="en-US" w:eastAsia="zh-CN"/>
        </w:rPr>
        <w:t>1</w:t>
      </w:r>
      <w:r>
        <w:rPr>
          <w:spacing w:val="5"/>
          <w:highlight w:val="none"/>
          <w:lang w:eastAsia="zh-CN"/>
        </w:rPr>
        <w:t>年</w:t>
      </w:r>
      <w:r>
        <w:rPr>
          <w:rFonts w:hint="eastAsia"/>
          <w:spacing w:val="5"/>
          <w:highlight w:val="none"/>
          <w:lang w:eastAsia="zh-CN"/>
        </w:rPr>
        <w:t>（所包含配件：油缸、手柄总成开裂脱焊及无明显碰撞的变形或损坏、车架总成开裂脱焊、推杆总成、轮架总成、双链板、摇臂（三脚架）、连杆接头、脚踏板、支撑座、轮轴、阀芯、小轮架轴心、手柄链条），质保3个月（轮子开裂损坏、轴承），前述未描述的均质保1年</w:t>
      </w:r>
      <w:r>
        <w:rPr>
          <w:spacing w:val="5"/>
          <w:highlight w:val="none"/>
          <w:lang w:eastAsia="zh-CN"/>
        </w:rPr>
        <w:t>，质保</w:t>
      </w:r>
      <w:r>
        <w:rPr>
          <w:spacing w:val="6"/>
          <w:highlight w:val="none"/>
          <w:lang w:eastAsia="zh-CN"/>
        </w:rPr>
        <w:t>期之内出现任何</w:t>
      </w:r>
      <w:r>
        <w:rPr>
          <w:rFonts w:hint="eastAsia"/>
          <w:spacing w:val="6"/>
          <w:highlight w:val="none"/>
          <w:lang w:val="en-US" w:eastAsia="zh-CN"/>
        </w:rPr>
        <w:t>质量问题</w:t>
      </w:r>
      <w:r>
        <w:rPr>
          <w:spacing w:val="6"/>
          <w:highlight w:val="none"/>
          <w:lang w:eastAsia="zh-CN"/>
        </w:rPr>
        <w:t>，乙方免费进行维修。</w:t>
      </w:r>
      <w:r>
        <w:rPr>
          <w:rFonts w:hint="eastAsia"/>
          <w:spacing w:val="6"/>
          <w:highlight w:val="none"/>
          <w:lang w:val="en-US" w:eastAsia="zh-CN"/>
        </w:rPr>
        <w:t>如</w:t>
      </w:r>
      <w:r>
        <w:rPr>
          <w:rFonts w:hint="eastAsia"/>
          <w:spacing w:val="6"/>
          <w:highlight w:val="none"/>
          <w:lang w:eastAsia="zh-CN"/>
        </w:rPr>
        <w:t>漏油无法打压故障均为油缸问题，需质保1年，更换内部配件或更换油缸仅为维修方式，</w:t>
      </w:r>
      <w:r>
        <w:rPr>
          <w:rFonts w:hint="eastAsia"/>
          <w:spacing w:val="6"/>
          <w:highlight w:val="none"/>
          <w:lang w:val="en-US" w:eastAsia="zh-CN"/>
        </w:rPr>
        <w:t>甲方</w:t>
      </w:r>
      <w:r>
        <w:rPr>
          <w:rFonts w:hint="eastAsia"/>
          <w:spacing w:val="6"/>
          <w:highlight w:val="none"/>
          <w:lang w:eastAsia="zh-CN"/>
        </w:rPr>
        <w:t>无需付内部配件费用（内部配件包括但不限于：油封修理包，防尘圈，阀芯，密封圈），油缸二次维修的更换整个油缸。</w:t>
      </w:r>
      <w:r>
        <w:rPr>
          <w:highlight w:val="none"/>
        </w:rPr>
        <w:pict>
          <v:shape id="_x0000_s1027" o:spid="_x0000_s1027" style="position:absolute;left:0pt;margin-left:34pt;margin-top:28.25pt;height:0.75pt;width:527.3pt;mso-position-horizontal-relative:page;mso-position-vertical-relative:page;z-index:251659264;mso-width-relative:page;mso-height-relative:page;" fillcolor="#000000" filled="t" stroked="f" coordsize="10545,15" o:allowincell="f" path="m0,0l10545,0,10545,14,0,14,0,0xe">
            <v:path/>
            <v:fill on="t" focussize="0,0"/>
            <v:stroke on="f"/>
            <v:imagedata o:title=""/>
            <o:lock v:ext="edit"/>
          </v:shape>
        </w:pict>
      </w:r>
    </w:p>
    <w:p w14:paraId="41CA7B0C">
      <w:pPr>
        <w:pStyle w:val="2"/>
        <w:numPr>
          <w:ilvl w:val="1"/>
          <w:numId w:val="1"/>
        </w:numPr>
        <w:spacing w:before="114" w:line="308" w:lineRule="auto"/>
        <w:ind w:right="158"/>
        <w:rPr>
          <w:highlight w:val="none"/>
          <w:lang w:eastAsia="zh-CN"/>
        </w:rPr>
      </w:pPr>
      <w:r>
        <w:rPr>
          <w:spacing w:val="6"/>
          <w:highlight w:val="none"/>
          <w:lang w:eastAsia="zh-CN"/>
        </w:rPr>
        <w:t>保修期外售后服务内容及收费方式</w:t>
      </w:r>
    </w:p>
    <w:p w14:paraId="261DD6BA">
      <w:pPr>
        <w:pStyle w:val="2"/>
        <w:numPr>
          <w:ilvl w:val="2"/>
          <w:numId w:val="1"/>
        </w:numPr>
        <w:spacing w:before="114" w:line="308" w:lineRule="auto"/>
        <w:ind w:right="158"/>
        <w:rPr>
          <w:spacing w:val="8"/>
          <w:highlight w:val="none"/>
          <w:lang w:eastAsia="zh-CN"/>
        </w:rPr>
      </w:pPr>
      <w:r>
        <w:rPr>
          <w:spacing w:val="5"/>
          <w:highlight w:val="none"/>
          <w:lang w:eastAsia="zh-CN"/>
        </w:rPr>
        <w:t>乙方应为甲方提供终身维护服务，保修期外可由乙方提供有偿保修，服务方式为</w:t>
      </w:r>
      <w:r>
        <w:rPr>
          <w:rFonts w:hint="eastAsia"/>
          <w:spacing w:val="5"/>
          <w:highlight w:val="none"/>
          <w:lang w:eastAsia="zh-CN"/>
        </w:rPr>
        <w:t>☑</w:t>
      </w:r>
      <w:r>
        <w:rPr>
          <w:spacing w:val="5"/>
          <w:highlight w:val="none"/>
          <w:lang w:eastAsia="zh-CN"/>
        </w:rPr>
        <w:t>上门</w:t>
      </w:r>
      <w:r>
        <w:rPr>
          <w:rFonts w:hint="eastAsia"/>
          <w:spacing w:val="5"/>
          <w:highlight w:val="none"/>
          <w:lang w:eastAsia="zh-CN"/>
        </w:rPr>
        <w:t>□</w:t>
      </w:r>
      <w:r>
        <w:rPr>
          <w:spacing w:val="5"/>
          <w:highlight w:val="none"/>
          <w:lang w:eastAsia="zh-CN"/>
        </w:rPr>
        <w:t>送修，本</w:t>
      </w:r>
      <w:r>
        <w:rPr>
          <w:spacing w:val="8"/>
          <w:highlight w:val="none"/>
          <w:lang w:eastAsia="zh-CN"/>
        </w:rPr>
        <w:t>合同所含标的物相关主要配件收费标准如下，同时</w:t>
      </w:r>
      <w:r>
        <w:rPr>
          <w:spacing w:val="7"/>
          <w:highlight w:val="none"/>
          <w:lang w:eastAsia="zh-CN"/>
        </w:rPr>
        <w:t>，乙方承诺维修费、配件费不高于乙方向任何第</w:t>
      </w:r>
      <w:r>
        <w:rPr>
          <w:spacing w:val="9"/>
          <w:highlight w:val="none"/>
          <w:lang w:eastAsia="zh-CN"/>
        </w:rPr>
        <w:t>三人就同类合约标的提供维修服务所收取之</w:t>
      </w:r>
      <w:r>
        <w:rPr>
          <w:spacing w:val="8"/>
          <w:highlight w:val="none"/>
          <w:lang w:eastAsia="zh-CN"/>
        </w:rPr>
        <w:t>合理费用：</w:t>
      </w:r>
    </w:p>
    <w:tbl>
      <w:tblPr>
        <w:tblStyle w:val="10"/>
        <w:tblW w:w="9784" w:type="dxa"/>
        <w:jc w:val="center"/>
        <w:tblLayout w:type="fixed"/>
        <w:tblCellMar>
          <w:top w:w="0" w:type="dxa"/>
          <w:left w:w="108" w:type="dxa"/>
          <w:bottom w:w="0" w:type="dxa"/>
          <w:right w:w="108" w:type="dxa"/>
        </w:tblCellMar>
      </w:tblPr>
      <w:tblGrid>
        <w:gridCol w:w="1012"/>
        <w:gridCol w:w="1949"/>
        <w:gridCol w:w="1062"/>
        <w:gridCol w:w="2163"/>
        <w:gridCol w:w="1930"/>
        <w:gridCol w:w="1668"/>
      </w:tblGrid>
      <w:tr w14:paraId="2242E36D">
        <w:tblPrEx>
          <w:tblCellMar>
            <w:top w:w="0" w:type="dxa"/>
            <w:left w:w="108" w:type="dxa"/>
            <w:bottom w:w="0" w:type="dxa"/>
            <w:right w:w="108" w:type="dxa"/>
          </w:tblCellMar>
        </w:tblPrEx>
        <w:trPr>
          <w:trHeight w:val="388"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9C78BC1">
            <w:pPr>
              <w:spacing w:line="400" w:lineRule="exact"/>
              <w:jc w:val="center"/>
              <w:rPr>
                <w:rFonts w:ascii="华文楷体" w:hAnsi="华文楷体" w:eastAsia="华文楷体" w:cs="华文楷体"/>
                <w:sz w:val="20"/>
                <w:szCs w:val="20"/>
                <w:highlight w:val="none"/>
              </w:rPr>
            </w:pPr>
            <w:r>
              <w:rPr>
                <w:rFonts w:hint="eastAsia" w:ascii="华文楷体" w:hAnsi="华文楷体" w:eastAsia="华文楷体" w:cs="华文楷体"/>
                <w:sz w:val="20"/>
                <w:szCs w:val="20"/>
                <w:highlight w:val="none"/>
              </w:rPr>
              <w:t>序号</w:t>
            </w:r>
          </w:p>
        </w:tc>
        <w:tc>
          <w:tcPr>
            <w:tcW w:w="1949" w:type="dxa"/>
            <w:tcBorders>
              <w:top w:val="single" w:color="auto" w:sz="4" w:space="0"/>
              <w:left w:val="nil"/>
              <w:bottom w:val="single" w:color="auto" w:sz="4" w:space="0"/>
              <w:right w:val="single" w:color="auto" w:sz="4" w:space="0"/>
            </w:tcBorders>
            <w:noWrap/>
            <w:vAlign w:val="center"/>
          </w:tcPr>
          <w:p w14:paraId="0314AEE5">
            <w:pPr>
              <w:spacing w:line="400" w:lineRule="exact"/>
              <w:jc w:val="center"/>
              <w:rPr>
                <w:rFonts w:ascii="华文楷体" w:hAnsi="华文楷体" w:eastAsia="华文楷体" w:cs="华文楷体"/>
                <w:sz w:val="20"/>
                <w:szCs w:val="20"/>
                <w:highlight w:val="none"/>
              </w:rPr>
            </w:pPr>
            <w:r>
              <w:rPr>
                <w:rFonts w:hint="eastAsia" w:ascii="华文楷体" w:hAnsi="华文楷体" w:eastAsia="华文楷体" w:cs="华文楷体"/>
                <w:sz w:val="20"/>
                <w:szCs w:val="20"/>
                <w:highlight w:val="none"/>
              </w:rPr>
              <w:t>配件名称</w:t>
            </w:r>
          </w:p>
        </w:tc>
        <w:tc>
          <w:tcPr>
            <w:tcW w:w="1062" w:type="dxa"/>
            <w:tcBorders>
              <w:top w:val="single" w:color="auto" w:sz="4" w:space="0"/>
              <w:left w:val="nil"/>
              <w:bottom w:val="single" w:color="auto" w:sz="4" w:space="0"/>
              <w:right w:val="single" w:color="auto" w:sz="4" w:space="0"/>
            </w:tcBorders>
            <w:noWrap/>
            <w:vAlign w:val="center"/>
          </w:tcPr>
          <w:p w14:paraId="1643906D">
            <w:pPr>
              <w:spacing w:line="400" w:lineRule="exact"/>
              <w:jc w:val="center"/>
              <w:rPr>
                <w:rFonts w:ascii="华文楷体" w:hAnsi="华文楷体" w:eastAsia="华文楷体" w:cs="华文楷体"/>
                <w:sz w:val="20"/>
                <w:szCs w:val="20"/>
                <w:highlight w:val="none"/>
              </w:rPr>
            </w:pPr>
            <w:r>
              <w:rPr>
                <w:rFonts w:hint="eastAsia" w:ascii="华文楷体" w:hAnsi="华文楷体" w:eastAsia="华文楷体" w:cs="华文楷体"/>
                <w:sz w:val="20"/>
                <w:szCs w:val="20"/>
                <w:highlight w:val="none"/>
              </w:rPr>
              <w:t>单位</w:t>
            </w:r>
          </w:p>
        </w:tc>
        <w:tc>
          <w:tcPr>
            <w:tcW w:w="2163" w:type="dxa"/>
            <w:tcBorders>
              <w:top w:val="single" w:color="auto" w:sz="4" w:space="0"/>
              <w:left w:val="nil"/>
              <w:bottom w:val="single" w:color="auto" w:sz="4" w:space="0"/>
              <w:right w:val="single" w:color="auto" w:sz="4" w:space="0"/>
            </w:tcBorders>
            <w:noWrap/>
            <w:vAlign w:val="center"/>
          </w:tcPr>
          <w:p w14:paraId="5C7E4D6F">
            <w:pPr>
              <w:spacing w:line="400" w:lineRule="exact"/>
              <w:jc w:val="center"/>
              <w:rPr>
                <w:rFonts w:ascii="华文楷体" w:hAnsi="华文楷体" w:eastAsia="华文楷体" w:cs="华文楷体"/>
                <w:sz w:val="20"/>
                <w:szCs w:val="20"/>
                <w:highlight w:val="none"/>
              </w:rPr>
            </w:pPr>
            <w:r>
              <w:rPr>
                <w:rFonts w:hint="eastAsia" w:ascii="华文楷体" w:hAnsi="华文楷体" w:eastAsia="华文楷体" w:cs="华文楷体"/>
                <w:sz w:val="20"/>
                <w:szCs w:val="20"/>
                <w:highlight w:val="none"/>
              </w:rPr>
              <w:t>单价(RMB)</w:t>
            </w:r>
          </w:p>
        </w:tc>
        <w:tc>
          <w:tcPr>
            <w:tcW w:w="1930" w:type="dxa"/>
            <w:tcBorders>
              <w:top w:val="single" w:color="auto" w:sz="4" w:space="0"/>
              <w:left w:val="nil"/>
              <w:bottom w:val="single" w:color="auto" w:sz="4" w:space="0"/>
              <w:right w:val="single" w:color="auto" w:sz="4" w:space="0"/>
            </w:tcBorders>
            <w:noWrap/>
            <w:vAlign w:val="center"/>
          </w:tcPr>
          <w:p w14:paraId="46F5B2B9">
            <w:pPr>
              <w:tabs>
                <w:tab w:val="left" w:pos="791"/>
              </w:tabs>
              <w:spacing w:line="400" w:lineRule="exact"/>
              <w:jc w:val="center"/>
              <w:rPr>
                <w:rFonts w:hint="default" w:ascii="华文楷体" w:hAnsi="华文楷体" w:eastAsia="华文楷体" w:cs="华文楷体"/>
                <w:sz w:val="20"/>
                <w:szCs w:val="20"/>
                <w:highlight w:val="none"/>
                <w:lang w:val="en-US" w:eastAsia="zh-CN"/>
              </w:rPr>
            </w:pPr>
            <w:r>
              <w:rPr>
                <w:rFonts w:hint="eastAsia" w:ascii="华文楷体" w:hAnsi="华文楷体" w:eastAsia="华文楷体" w:cs="华文楷体"/>
                <w:sz w:val="20"/>
                <w:szCs w:val="20"/>
                <w:highlight w:val="none"/>
                <w:lang w:val="en-US" w:eastAsia="zh-CN"/>
              </w:rPr>
              <w:t>质保期</w:t>
            </w:r>
          </w:p>
        </w:tc>
        <w:tc>
          <w:tcPr>
            <w:tcW w:w="1668" w:type="dxa"/>
            <w:tcBorders>
              <w:top w:val="single" w:color="auto" w:sz="4" w:space="0"/>
              <w:left w:val="nil"/>
              <w:bottom w:val="single" w:color="auto" w:sz="4" w:space="0"/>
              <w:right w:val="single" w:color="auto" w:sz="4" w:space="0"/>
            </w:tcBorders>
            <w:noWrap/>
            <w:vAlign w:val="center"/>
          </w:tcPr>
          <w:p w14:paraId="5D73C854">
            <w:pPr>
              <w:tabs>
                <w:tab w:val="left" w:pos="791"/>
              </w:tabs>
              <w:spacing w:line="400" w:lineRule="exact"/>
              <w:jc w:val="center"/>
              <w:rPr>
                <w:rFonts w:hint="default" w:ascii="华文楷体" w:hAnsi="华文楷体" w:eastAsia="华文楷体" w:cs="华文楷体"/>
                <w:sz w:val="20"/>
                <w:szCs w:val="20"/>
                <w:highlight w:val="none"/>
                <w:lang w:val="en-US" w:eastAsia="zh-CN"/>
              </w:rPr>
            </w:pPr>
            <w:r>
              <w:rPr>
                <w:rFonts w:hint="eastAsia" w:ascii="华文楷体" w:hAnsi="华文楷体" w:eastAsia="华文楷体" w:cs="华文楷体"/>
                <w:sz w:val="20"/>
                <w:szCs w:val="20"/>
                <w:highlight w:val="none"/>
                <w:lang w:val="en-US" w:eastAsia="zh-CN"/>
              </w:rPr>
              <w:t>维修时效</w:t>
            </w:r>
          </w:p>
        </w:tc>
      </w:tr>
      <w:tr w14:paraId="257C2F2B">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127D1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w:t>
            </w:r>
          </w:p>
        </w:tc>
        <w:tc>
          <w:tcPr>
            <w:tcW w:w="1949" w:type="dxa"/>
            <w:tcBorders>
              <w:top w:val="single" w:color="auto" w:sz="4" w:space="0"/>
              <w:left w:val="single" w:color="auto" w:sz="4" w:space="0"/>
              <w:bottom w:val="single" w:color="auto" w:sz="4" w:space="0"/>
              <w:right w:val="single" w:color="auto" w:sz="4" w:space="0"/>
            </w:tcBorders>
            <w:noWrap/>
            <w:vAlign w:val="center"/>
          </w:tcPr>
          <w:p w14:paraId="373B69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油缸总成</w:t>
            </w:r>
          </w:p>
        </w:tc>
        <w:tc>
          <w:tcPr>
            <w:tcW w:w="1062" w:type="dxa"/>
            <w:tcBorders>
              <w:top w:val="single" w:color="auto" w:sz="4" w:space="0"/>
              <w:left w:val="single" w:color="auto" w:sz="4" w:space="0"/>
              <w:bottom w:val="single" w:color="auto" w:sz="4" w:space="0"/>
              <w:right w:val="single" w:color="auto" w:sz="4" w:space="0"/>
            </w:tcBorders>
            <w:noWrap/>
            <w:vAlign w:val="center"/>
          </w:tcPr>
          <w:p w14:paraId="12011A9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93B562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7A8170D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47E95A1">
            <w:pPr>
              <w:spacing w:line="400" w:lineRule="exact"/>
              <w:jc w:val="center"/>
              <w:rPr>
                <w:rFonts w:hint="eastAsia" w:ascii="华文楷体" w:hAnsi="华文楷体" w:eastAsia="华文楷体" w:cs="华文楷体"/>
                <w:sz w:val="20"/>
                <w:szCs w:val="20"/>
                <w:highlight w:val="none"/>
                <w:lang w:val="en-US" w:eastAsia="zh-CN"/>
              </w:rPr>
            </w:pPr>
          </w:p>
        </w:tc>
      </w:tr>
      <w:tr w14:paraId="22D12271">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78CEA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w:t>
            </w:r>
          </w:p>
        </w:tc>
        <w:tc>
          <w:tcPr>
            <w:tcW w:w="1949" w:type="dxa"/>
            <w:tcBorders>
              <w:top w:val="single" w:color="auto" w:sz="4" w:space="0"/>
              <w:left w:val="single" w:color="auto" w:sz="4" w:space="0"/>
              <w:bottom w:val="single" w:color="auto" w:sz="4" w:space="0"/>
              <w:right w:val="single" w:color="auto" w:sz="4" w:space="0"/>
            </w:tcBorders>
            <w:noWrap/>
            <w:vAlign w:val="center"/>
          </w:tcPr>
          <w:p w14:paraId="2BE870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手柄总成</w:t>
            </w:r>
          </w:p>
        </w:tc>
        <w:tc>
          <w:tcPr>
            <w:tcW w:w="1062" w:type="dxa"/>
            <w:tcBorders>
              <w:top w:val="single" w:color="auto" w:sz="4" w:space="0"/>
              <w:left w:val="single" w:color="auto" w:sz="4" w:space="0"/>
              <w:bottom w:val="single" w:color="auto" w:sz="4" w:space="0"/>
              <w:right w:val="single" w:color="auto" w:sz="4" w:space="0"/>
            </w:tcBorders>
            <w:noWrap/>
            <w:vAlign w:val="center"/>
          </w:tcPr>
          <w:p w14:paraId="4F96ACC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024CA12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761D41D">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DE5A4BB">
            <w:pPr>
              <w:spacing w:line="400" w:lineRule="exact"/>
              <w:jc w:val="center"/>
              <w:rPr>
                <w:rFonts w:hint="eastAsia" w:ascii="华文楷体" w:hAnsi="华文楷体" w:eastAsia="华文楷体" w:cs="华文楷体"/>
                <w:sz w:val="20"/>
                <w:szCs w:val="20"/>
                <w:highlight w:val="none"/>
                <w:lang w:val="en-US" w:eastAsia="zh-CN"/>
              </w:rPr>
            </w:pPr>
          </w:p>
        </w:tc>
      </w:tr>
      <w:tr w14:paraId="10D90097">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A48AD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w:t>
            </w:r>
          </w:p>
        </w:tc>
        <w:tc>
          <w:tcPr>
            <w:tcW w:w="1949" w:type="dxa"/>
            <w:tcBorders>
              <w:top w:val="single" w:color="auto" w:sz="4" w:space="0"/>
              <w:left w:val="single" w:color="auto" w:sz="4" w:space="0"/>
              <w:bottom w:val="single" w:color="auto" w:sz="4" w:space="0"/>
              <w:right w:val="single" w:color="auto" w:sz="4" w:space="0"/>
            </w:tcBorders>
            <w:noWrap/>
            <w:vAlign w:val="center"/>
          </w:tcPr>
          <w:p w14:paraId="590F6D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车架</w:t>
            </w:r>
          </w:p>
        </w:tc>
        <w:tc>
          <w:tcPr>
            <w:tcW w:w="1062" w:type="dxa"/>
            <w:tcBorders>
              <w:top w:val="single" w:color="auto" w:sz="4" w:space="0"/>
              <w:left w:val="single" w:color="auto" w:sz="4" w:space="0"/>
              <w:bottom w:val="single" w:color="auto" w:sz="4" w:space="0"/>
              <w:right w:val="single" w:color="auto" w:sz="4" w:space="0"/>
            </w:tcBorders>
            <w:noWrap/>
            <w:vAlign w:val="center"/>
          </w:tcPr>
          <w:p w14:paraId="74019C84">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D699DA0">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546B8F7">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756D8BC">
            <w:pPr>
              <w:spacing w:line="400" w:lineRule="exact"/>
              <w:jc w:val="center"/>
              <w:rPr>
                <w:rFonts w:hint="eastAsia" w:ascii="华文楷体" w:hAnsi="华文楷体" w:eastAsia="华文楷体" w:cs="华文楷体"/>
                <w:sz w:val="20"/>
                <w:szCs w:val="20"/>
                <w:highlight w:val="none"/>
                <w:lang w:val="en-US" w:eastAsia="zh-CN"/>
              </w:rPr>
            </w:pPr>
          </w:p>
        </w:tc>
      </w:tr>
      <w:tr w14:paraId="6360F632">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1FB5B3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w:t>
            </w:r>
          </w:p>
        </w:tc>
        <w:tc>
          <w:tcPr>
            <w:tcW w:w="1949" w:type="dxa"/>
            <w:tcBorders>
              <w:top w:val="single" w:color="auto" w:sz="4" w:space="0"/>
              <w:left w:val="single" w:color="auto" w:sz="4" w:space="0"/>
              <w:bottom w:val="single" w:color="auto" w:sz="4" w:space="0"/>
              <w:right w:val="single" w:color="auto" w:sz="4" w:space="0"/>
            </w:tcBorders>
            <w:noWrap/>
            <w:vAlign w:val="center"/>
          </w:tcPr>
          <w:p w14:paraId="35A660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PU大轮</w:t>
            </w:r>
          </w:p>
        </w:tc>
        <w:tc>
          <w:tcPr>
            <w:tcW w:w="1062" w:type="dxa"/>
            <w:tcBorders>
              <w:top w:val="single" w:color="auto" w:sz="4" w:space="0"/>
              <w:left w:val="single" w:color="auto" w:sz="4" w:space="0"/>
              <w:bottom w:val="single" w:color="auto" w:sz="4" w:space="0"/>
              <w:right w:val="single" w:color="auto" w:sz="4" w:space="0"/>
            </w:tcBorders>
            <w:noWrap/>
            <w:vAlign w:val="center"/>
          </w:tcPr>
          <w:p w14:paraId="78168D22">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B7BC3BB">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2153F4C">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0DA0101C">
            <w:pPr>
              <w:spacing w:line="400" w:lineRule="exact"/>
              <w:jc w:val="center"/>
              <w:rPr>
                <w:rFonts w:hint="eastAsia" w:ascii="华文楷体" w:hAnsi="华文楷体" w:eastAsia="华文楷体" w:cs="华文楷体"/>
                <w:sz w:val="20"/>
                <w:szCs w:val="20"/>
                <w:highlight w:val="none"/>
                <w:lang w:val="en-US" w:eastAsia="zh-CN"/>
              </w:rPr>
            </w:pPr>
          </w:p>
        </w:tc>
      </w:tr>
      <w:tr w14:paraId="52E12721">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EA855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5</w:t>
            </w:r>
          </w:p>
        </w:tc>
        <w:tc>
          <w:tcPr>
            <w:tcW w:w="1949" w:type="dxa"/>
            <w:tcBorders>
              <w:top w:val="single" w:color="auto" w:sz="4" w:space="0"/>
              <w:left w:val="single" w:color="auto" w:sz="4" w:space="0"/>
              <w:bottom w:val="single" w:color="auto" w:sz="4" w:space="0"/>
              <w:right w:val="single" w:color="auto" w:sz="4" w:space="0"/>
            </w:tcBorders>
            <w:noWrap/>
            <w:vAlign w:val="center"/>
          </w:tcPr>
          <w:p w14:paraId="36202D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尼龙大轮</w:t>
            </w:r>
          </w:p>
        </w:tc>
        <w:tc>
          <w:tcPr>
            <w:tcW w:w="1062" w:type="dxa"/>
            <w:tcBorders>
              <w:top w:val="single" w:color="auto" w:sz="4" w:space="0"/>
              <w:left w:val="single" w:color="auto" w:sz="4" w:space="0"/>
              <w:bottom w:val="single" w:color="auto" w:sz="4" w:space="0"/>
              <w:right w:val="single" w:color="auto" w:sz="4" w:space="0"/>
            </w:tcBorders>
            <w:noWrap/>
            <w:vAlign w:val="center"/>
          </w:tcPr>
          <w:p w14:paraId="74516A1B">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9544DD8">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C034A12">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0368961D">
            <w:pPr>
              <w:spacing w:line="400" w:lineRule="exact"/>
              <w:jc w:val="center"/>
              <w:rPr>
                <w:rFonts w:hint="eastAsia" w:ascii="华文楷体" w:hAnsi="华文楷体" w:eastAsia="华文楷体" w:cs="华文楷体"/>
                <w:sz w:val="20"/>
                <w:szCs w:val="20"/>
                <w:highlight w:val="none"/>
                <w:lang w:val="en-US" w:eastAsia="zh-CN"/>
              </w:rPr>
            </w:pPr>
          </w:p>
        </w:tc>
      </w:tr>
      <w:tr w14:paraId="05CD8A80">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2A5A3B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6</w:t>
            </w:r>
          </w:p>
        </w:tc>
        <w:tc>
          <w:tcPr>
            <w:tcW w:w="1949" w:type="dxa"/>
            <w:tcBorders>
              <w:top w:val="single" w:color="auto" w:sz="4" w:space="0"/>
              <w:left w:val="single" w:color="auto" w:sz="4" w:space="0"/>
              <w:bottom w:val="single" w:color="auto" w:sz="4" w:space="0"/>
              <w:right w:val="single" w:color="auto" w:sz="4" w:space="0"/>
            </w:tcBorders>
            <w:noWrap/>
            <w:vAlign w:val="center"/>
          </w:tcPr>
          <w:p w14:paraId="122E51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PU小轮</w:t>
            </w:r>
          </w:p>
        </w:tc>
        <w:tc>
          <w:tcPr>
            <w:tcW w:w="1062" w:type="dxa"/>
            <w:tcBorders>
              <w:top w:val="single" w:color="auto" w:sz="4" w:space="0"/>
              <w:left w:val="single" w:color="auto" w:sz="4" w:space="0"/>
              <w:bottom w:val="single" w:color="auto" w:sz="4" w:space="0"/>
              <w:right w:val="single" w:color="auto" w:sz="4" w:space="0"/>
            </w:tcBorders>
            <w:noWrap/>
            <w:vAlign w:val="center"/>
          </w:tcPr>
          <w:p w14:paraId="7835C775">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6B34486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F0438AC">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166CDA5">
            <w:pPr>
              <w:spacing w:line="400" w:lineRule="exact"/>
              <w:jc w:val="center"/>
              <w:rPr>
                <w:rFonts w:hint="eastAsia" w:ascii="华文楷体" w:hAnsi="华文楷体" w:eastAsia="华文楷体" w:cs="华文楷体"/>
                <w:sz w:val="20"/>
                <w:szCs w:val="20"/>
                <w:highlight w:val="none"/>
                <w:lang w:val="en-US" w:eastAsia="zh-CN"/>
              </w:rPr>
            </w:pPr>
          </w:p>
        </w:tc>
      </w:tr>
      <w:tr w14:paraId="74436013">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19B910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7</w:t>
            </w:r>
          </w:p>
        </w:tc>
        <w:tc>
          <w:tcPr>
            <w:tcW w:w="1949" w:type="dxa"/>
            <w:tcBorders>
              <w:top w:val="single" w:color="auto" w:sz="4" w:space="0"/>
              <w:left w:val="single" w:color="auto" w:sz="4" w:space="0"/>
              <w:bottom w:val="single" w:color="auto" w:sz="4" w:space="0"/>
              <w:right w:val="single" w:color="auto" w:sz="4" w:space="0"/>
            </w:tcBorders>
            <w:noWrap/>
            <w:vAlign w:val="center"/>
          </w:tcPr>
          <w:p w14:paraId="25FD55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尼龙小轮</w:t>
            </w:r>
          </w:p>
        </w:tc>
        <w:tc>
          <w:tcPr>
            <w:tcW w:w="1062" w:type="dxa"/>
            <w:tcBorders>
              <w:top w:val="single" w:color="auto" w:sz="4" w:space="0"/>
              <w:left w:val="single" w:color="auto" w:sz="4" w:space="0"/>
              <w:bottom w:val="single" w:color="auto" w:sz="4" w:space="0"/>
              <w:right w:val="single" w:color="auto" w:sz="4" w:space="0"/>
            </w:tcBorders>
            <w:noWrap/>
            <w:vAlign w:val="center"/>
          </w:tcPr>
          <w:p w14:paraId="6D7EE2F6">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A9DAC6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92AC08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374023E">
            <w:pPr>
              <w:spacing w:line="400" w:lineRule="exact"/>
              <w:jc w:val="center"/>
              <w:rPr>
                <w:rFonts w:hint="eastAsia" w:ascii="华文楷体" w:hAnsi="华文楷体" w:eastAsia="华文楷体" w:cs="华文楷体"/>
                <w:sz w:val="20"/>
                <w:szCs w:val="20"/>
                <w:highlight w:val="none"/>
                <w:lang w:val="en-US" w:eastAsia="zh-CN"/>
              </w:rPr>
            </w:pPr>
          </w:p>
        </w:tc>
      </w:tr>
      <w:tr w14:paraId="4A6418C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5CA4E1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8</w:t>
            </w:r>
          </w:p>
        </w:tc>
        <w:tc>
          <w:tcPr>
            <w:tcW w:w="1949" w:type="dxa"/>
            <w:tcBorders>
              <w:top w:val="single" w:color="auto" w:sz="4" w:space="0"/>
              <w:left w:val="single" w:color="auto" w:sz="4" w:space="0"/>
              <w:bottom w:val="single" w:color="auto" w:sz="4" w:space="0"/>
              <w:right w:val="single" w:color="auto" w:sz="4" w:space="0"/>
            </w:tcBorders>
            <w:noWrap/>
            <w:vAlign w:val="center"/>
          </w:tcPr>
          <w:p w14:paraId="66F0F0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手柄链条</w:t>
            </w:r>
          </w:p>
        </w:tc>
        <w:tc>
          <w:tcPr>
            <w:tcW w:w="1062" w:type="dxa"/>
            <w:tcBorders>
              <w:top w:val="single" w:color="auto" w:sz="4" w:space="0"/>
              <w:left w:val="single" w:color="auto" w:sz="4" w:space="0"/>
              <w:bottom w:val="single" w:color="auto" w:sz="4" w:space="0"/>
              <w:right w:val="single" w:color="auto" w:sz="4" w:space="0"/>
            </w:tcBorders>
            <w:noWrap/>
            <w:vAlign w:val="center"/>
          </w:tcPr>
          <w:p w14:paraId="78A4CEBC">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972D7E3">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7CEBB75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3834D038">
            <w:pPr>
              <w:spacing w:line="400" w:lineRule="exact"/>
              <w:jc w:val="center"/>
              <w:rPr>
                <w:rFonts w:hint="eastAsia" w:ascii="华文楷体" w:hAnsi="华文楷体" w:eastAsia="华文楷体" w:cs="华文楷体"/>
                <w:sz w:val="20"/>
                <w:szCs w:val="20"/>
                <w:highlight w:val="none"/>
                <w:lang w:val="en-US" w:eastAsia="zh-CN"/>
              </w:rPr>
            </w:pPr>
          </w:p>
        </w:tc>
      </w:tr>
      <w:tr w14:paraId="39C33EA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579A5D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9</w:t>
            </w:r>
          </w:p>
        </w:tc>
        <w:tc>
          <w:tcPr>
            <w:tcW w:w="1949" w:type="dxa"/>
            <w:tcBorders>
              <w:top w:val="single" w:color="auto" w:sz="4" w:space="0"/>
              <w:left w:val="single" w:color="auto" w:sz="4" w:space="0"/>
              <w:bottom w:val="single" w:color="auto" w:sz="4" w:space="0"/>
              <w:right w:val="single" w:color="auto" w:sz="4" w:space="0"/>
            </w:tcBorders>
            <w:noWrap/>
            <w:vAlign w:val="center"/>
          </w:tcPr>
          <w:p w14:paraId="79CB0F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弹簧盖</w:t>
            </w:r>
          </w:p>
        </w:tc>
        <w:tc>
          <w:tcPr>
            <w:tcW w:w="1062" w:type="dxa"/>
            <w:tcBorders>
              <w:top w:val="single" w:color="auto" w:sz="4" w:space="0"/>
              <w:left w:val="single" w:color="auto" w:sz="4" w:space="0"/>
              <w:bottom w:val="single" w:color="auto" w:sz="4" w:space="0"/>
              <w:right w:val="single" w:color="auto" w:sz="4" w:space="0"/>
            </w:tcBorders>
            <w:noWrap/>
            <w:vAlign w:val="center"/>
          </w:tcPr>
          <w:p w14:paraId="3EF814EF">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5D97B970">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F608BF1">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B3BE629">
            <w:pPr>
              <w:spacing w:line="400" w:lineRule="exact"/>
              <w:jc w:val="center"/>
              <w:rPr>
                <w:rFonts w:hint="eastAsia" w:ascii="华文楷体" w:hAnsi="华文楷体" w:eastAsia="华文楷体" w:cs="华文楷体"/>
                <w:sz w:val="20"/>
                <w:szCs w:val="20"/>
                <w:highlight w:val="none"/>
                <w:lang w:val="en-US" w:eastAsia="zh-CN"/>
              </w:rPr>
            </w:pPr>
          </w:p>
        </w:tc>
      </w:tr>
      <w:tr w14:paraId="095BE3A1">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7B99D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10</w:t>
            </w:r>
          </w:p>
        </w:tc>
        <w:tc>
          <w:tcPr>
            <w:tcW w:w="1949" w:type="dxa"/>
            <w:tcBorders>
              <w:top w:val="single" w:color="auto" w:sz="4" w:space="0"/>
              <w:left w:val="single" w:color="auto" w:sz="4" w:space="0"/>
              <w:bottom w:val="single" w:color="auto" w:sz="4" w:space="0"/>
              <w:right w:val="single" w:color="auto" w:sz="4" w:space="0"/>
            </w:tcBorders>
            <w:noWrap/>
            <w:vAlign w:val="center"/>
          </w:tcPr>
          <w:p w14:paraId="19BC7F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开关板</w:t>
            </w:r>
          </w:p>
        </w:tc>
        <w:tc>
          <w:tcPr>
            <w:tcW w:w="1062" w:type="dxa"/>
            <w:tcBorders>
              <w:top w:val="single" w:color="auto" w:sz="4" w:space="0"/>
              <w:left w:val="single" w:color="auto" w:sz="4" w:space="0"/>
              <w:bottom w:val="single" w:color="auto" w:sz="4" w:space="0"/>
              <w:right w:val="single" w:color="auto" w:sz="4" w:space="0"/>
            </w:tcBorders>
            <w:noWrap/>
            <w:vAlign w:val="center"/>
          </w:tcPr>
          <w:p w14:paraId="46C67ACF">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2A61236">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A95757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9517472">
            <w:pPr>
              <w:spacing w:line="400" w:lineRule="exact"/>
              <w:jc w:val="center"/>
              <w:rPr>
                <w:rFonts w:hint="eastAsia" w:ascii="华文楷体" w:hAnsi="华文楷体" w:eastAsia="华文楷体" w:cs="华文楷体"/>
                <w:sz w:val="20"/>
                <w:szCs w:val="20"/>
                <w:highlight w:val="none"/>
                <w:lang w:val="en-US" w:eastAsia="zh-CN"/>
              </w:rPr>
            </w:pPr>
          </w:p>
        </w:tc>
      </w:tr>
      <w:tr w14:paraId="470EA528">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8DBCE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11</w:t>
            </w:r>
          </w:p>
        </w:tc>
        <w:tc>
          <w:tcPr>
            <w:tcW w:w="1949" w:type="dxa"/>
            <w:tcBorders>
              <w:top w:val="single" w:color="auto" w:sz="4" w:space="0"/>
              <w:left w:val="single" w:color="auto" w:sz="4" w:space="0"/>
              <w:bottom w:val="single" w:color="auto" w:sz="4" w:space="0"/>
              <w:right w:val="single" w:color="auto" w:sz="4" w:space="0"/>
            </w:tcBorders>
            <w:noWrap/>
            <w:vAlign w:val="center"/>
          </w:tcPr>
          <w:p w14:paraId="3A7C45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油泵总成</w:t>
            </w:r>
          </w:p>
        </w:tc>
        <w:tc>
          <w:tcPr>
            <w:tcW w:w="1062" w:type="dxa"/>
            <w:tcBorders>
              <w:top w:val="single" w:color="auto" w:sz="4" w:space="0"/>
              <w:left w:val="single" w:color="auto" w:sz="4" w:space="0"/>
              <w:bottom w:val="single" w:color="auto" w:sz="4" w:space="0"/>
              <w:right w:val="single" w:color="auto" w:sz="4" w:space="0"/>
            </w:tcBorders>
            <w:noWrap/>
            <w:vAlign w:val="center"/>
          </w:tcPr>
          <w:p w14:paraId="6993A7F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6733CC9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CC9442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609CFB7C">
            <w:pPr>
              <w:spacing w:line="400" w:lineRule="exact"/>
              <w:jc w:val="center"/>
              <w:rPr>
                <w:rFonts w:hint="eastAsia" w:ascii="华文楷体" w:hAnsi="华文楷体" w:eastAsia="华文楷体" w:cs="华文楷体"/>
                <w:sz w:val="20"/>
                <w:szCs w:val="20"/>
                <w:highlight w:val="none"/>
                <w:lang w:val="en-US" w:eastAsia="zh-CN"/>
              </w:rPr>
            </w:pPr>
          </w:p>
        </w:tc>
      </w:tr>
      <w:tr w14:paraId="180DAB3C">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24B1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12</w:t>
            </w:r>
          </w:p>
        </w:tc>
        <w:tc>
          <w:tcPr>
            <w:tcW w:w="1949" w:type="dxa"/>
            <w:tcBorders>
              <w:top w:val="single" w:color="auto" w:sz="4" w:space="0"/>
              <w:left w:val="single" w:color="auto" w:sz="4" w:space="0"/>
              <w:bottom w:val="single" w:color="auto" w:sz="4" w:space="0"/>
              <w:right w:val="single" w:color="auto" w:sz="4" w:space="0"/>
            </w:tcBorders>
            <w:noWrap/>
            <w:vAlign w:val="center"/>
          </w:tcPr>
          <w:p w14:paraId="6B03A8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链轮轴</w:t>
            </w:r>
          </w:p>
        </w:tc>
        <w:tc>
          <w:tcPr>
            <w:tcW w:w="1062" w:type="dxa"/>
            <w:tcBorders>
              <w:top w:val="single" w:color="auto" w:sz="4" w:space="0"/>
              <w:left w:val="single" w:color="auto" w:sz="4" w:space="0"/>
              <w:bottom w:val="single" w:color="auto" w:sz="4" w:space="0"/>
              <w:right w:val="single" w:color="auto" w:sz="4" w:space="0"/>
            </w:tcBorders>
            <w:noWrap/>
            <w:vAlign w:val="center"/>
          </w:tcPr>
          <w:p w14:paraId="7FD8F9B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23D3D4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FFDAF00">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34F921E1">
            <w:pPr>
              <w:spacing w:line="400" w:lineRule="exact"/>
              <w:jc w:val="center"/>
              <w:rPr>
                <w:rFonts w:hint="eastAsia" w:ascii="华文楷体" w:hAnsi="华文楷体" w:eastAsia="华文楷体" w:cs="华文楷体"/>
                <w:sz w:val="20"/>
                <w:szCs w:val="20"/>
                <w:highlight w:val="none"/>
                <w:lang w:val="en-US" w:eastAsia="zh-CN"/>
              </w:rPr>
            </w:pPr>
          </w:p>
        </w:tc>
      </w:tr>
      <w:tr w14:paraId="73348AF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59682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13</w:t>
            </w:r>
          </w:p>
        </w:tc>
        <w:tc>
          <w:tcPr>
            <w:tcW w:w="1949" w:type="dxa"/>
            <w:tcBorders>
              <w:top w:val="single" w:color="auto" w:sz="4" w:space="0"/>
              <w:left w:val="single" w:color="auto" w:sz="4" w:space="0"/>
              <w:bottom w:val="single" w:color="auto" w:sz="4" w:space="0"/>
              <w:right w:val="single" w:color="auto" w:sz="4" w:space="0"/>
            </w:tcBorders>
            <w:noWrap/>
            <w:vAlign w:val="center"/>
          </w:tcPr>
          <w:p w14:paraId="61180D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大轮轴</w:t>
            </w:r>
          </w:p>
        </w:tc>
        <w:tc>
          <w:tcPr>
            <w:tcW w:w="1062" w:type="dxa"/>
            <w:tcBorders>
              <w:top w:val="single" w:color="auto" w:sz="4" w:space="0"/>
              <w:left w:val="single" w:color="auto" w:sz="4" w:space="0"/>
              <w:bottom w:val="single" w:color="auto" w:sz="4" w:space="0"/>
              <w:right w:val="single" w:color="auto" w:sz="4" w:space="0"/>
            </w:tcBorders>
            <w:noWrap/>
            <w:vAlign w:val="center"/>
          </w:tcPr>
          <w:p w14:paraId="7B11208B">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E110782">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3D1054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D10F485">
            <w:pPr>
              <w:spacing w:line="400" w:lineRule="exact"/>
              <w:jc w:val="center"/>
              <w:rPr>
                <w:rFonts w:hint="eastAsia" w:ascii="华文楷体" w:hAnsi="华文楷体" w:eastAsia="华文楷体" w:cs="华文楷体"/>
                <w:sz w:val="20"/>
                <w:szCs w:val="20"/>
                <w:highlight w:val="none"/>
                <w:lang w:val="en-US" w:eastAsia="zh-CN"/>
              </w:rPr>
            </w:pPr>
          </w:p>
        </w:tc>
      </w:tr>
      <w:tr w14:paraId="55DC54DF">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5F5014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14</w:t>
            </w:r>
          </w:p>
        </w:tc>
        <w:tc>
          <w:tcPr>
            <w:tcW w:w="1949" w:type="dxa"/>
            <w:tcBorders>
              <w:top w:val="single" w:color="auto" w:sz="4" w:space="0"/>
              <w:left w:val="single" w:color="auto" w:sz="4" w:space="0"/>
              <w:bottom w:val="single" w:color="auto" w:sz="4" w:space="0"/>
              <w:right w:val="single" w:color="auto" w:sz="4" w:space="0"/>
            </w:tcBorders>
            <w:noWrap/>
            <w:vAlign w:val="center"/>
          </w:tcPr>
          <w:p w14:paraId="22E1D2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小轮轴</w:t>
            </w:r>
          </w:p>
        </w:tc>
        <w:tc>
          <w:tcPr>
            <w:tcW w:w="1062" w:type="dxa"/>
            <w:tcBorders>
              <w:top w:val="single" w:color="auto" w:sz="4" w:space="0"/>
              <w:left w:val="single" w:color="auto" w:sz="4" w:space="0"/>
              <w:bottom w:val="single" w:color="auto" w:sz="4" w:space="0"/>
              <w:right w:val="single" w:color="auto" w:sz="4" w:space="0"/>
            </w:tcBorders>
            <w:noWrap/>
            <w:vAlign w:val="center"/>
          </w:tcPr>
          <w:p w14:paraId="717765AC">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27D4A28F">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5D45D7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7B7B741B">
            <w:pPr>
              <w:spacing w:line="400" w:lineRule="exact"/>
              <w:jc w:val="center"/>
              <w:rPr>
                <w:rFonts w:hint="eastAsia" w:ascii="华文楷体" w:hAnsi="华文楷体" w:eastAsia="华文楷体" w:cs="华文楷体"/>
                <w:sz w:val="20"/>
                <w:szCs w:val="20"/>
                <w:highlight w:val="none"/>
                <w:lang w:val="en-US" w:eastAsia="zh-CN"/>
              </w:rPr>
            </w:pPr>
          </w:p>
        </w:tc>
      </w:tr>
      <w:tr w14:paraId="72189E50">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66CF5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15</w:t>
            </w:r>
          </w:p>
        </w:tc>
        <w:tc>
          <w:tcPr>
            <w:tcW w:w="1949" w:type="dxa"/>
            <w:tcBorders>
              <w:top w:val="single" w:color="auto" w:sz="4" w:space="0"/>
              <w:left w:val="single" w:color="auto" w:sz="4" w:space="0"/>
              <w:bottom w:val="single" w:color="auto" w:sz="4" w:space="0"/>
              <w:right w:val="single" w:color="auto" w:sz="4" w:space="0"/>
            </w:tcBorders>
            <w:noWrap/>
            <w:vAlign w:val="center"/>
          </w:tcPr>
          <w:p w14:paraId="1DD971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小轮架</w:t>
            </w:r>
          </w:p>
        </w:tc>
        <w:tc>
          <w:tcPr>
            <w:tcW w:w="1062" w:type="dxa"/>
            <w:tcBorders>
              <w:top w:val="single" w:color="auto" w:sz="4" w:space="0"/>
              <w:left w:val="single" w:color="auto" w:sz="4" w:space="0"/>
              <w:bottom w:val="single" w:color="auto" w:sz="4" w:space="0"/>
              <w:right w:val="single" w:color="auto" w:sz="4" w:space="0"/>
            </w:tcBorders>
            <w:noWrap/>
            <w:vAlign w:val="center"/>
          </w:tcPr>
          <w:p w14:paraId="788F564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5CAF06E9">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8338084">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6A7888C">
            <w:pPr>
              <w:spacing w:line="400" w:lineRule="exact"/>
              <w:jc w:val="center"/>
              <w:rPr>
                <w:rFonts w:hint="eastAsia" w:ascii="华文楷体" w:hAnsi="华文楷体" w:eastAsia="华文楷体" w:cs="华文楷体"/>
                <w:sz w:val="20"/>
                <w:szCs w:val="20"/>
                <w:highlight w:val="none"/>
                <w:lang w:val="en-US" w:eastAsia="zh-CN"/>
              </w:rPr>
            </w:pPr>
          </w:p>
        </w:tc>
      </w:tr>
      <w:tr w14:paraId="65F37B17">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FB4E6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16</w:t>
            </w:r>
          </w:p>
        </w:tc>
        <w:tc>
          <w:tcPr>
            <w:tcW w:w="1949" w:type="dxa"/>
            <w:tcBorders>
              <w:top w:val="single" w:color="auto" w:sz="4" w:space="0"/>
              <w:left w:val="single" w:color="auto" w:sz="4" w:space="0"/>
              <w:bottom w:val="single" w:color="auto" w:sz="4" w:space="0"/>
              <w:right w:val="single" w:color="auto" w:sz="4" w:space="0"/>
            </w:tcBorders>
            <w:noWrap/>
            <w:vAlign w:val="center"/>
          </w:tcPr>
          <w:p w14:paraId="179397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小轮架轴心</w:t>
            </w:r>
          </w:p>
        </w:tc>
        <w:tc>
          <w:tcPr>
            <w:tcW w:w="1062" w:type="dxa"/>
            <w:tcBorders>
              <w:top w:val="single" w:color="auto" w:sz="4" w:space="0"/>
              <w:left w:val="single" w:color="auto" w:sz="4" w:space="0"/>
              <w:bottom w:val="single" w:color="auto" w:sz="4" w:space="0"/>
              <w:right w:val="single" w:color="auto" w:sz="4" w:space="0"/>
            </w:tcBorders>
            <w:noWrap/>
            <w:vAlign w:val="center"/>
          </w:tcPr>
          <w:p w14:paraId="3F217647">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344E846">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F20CE17">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2DADFCE">
            <w:pPr>
              <w:spacing w:line="400" w:lineRule="exact"/>
              <w:jc w:val="center"/>
              <w:rPr>
                <w:rFonts w:hint="eastAsia" w:ascii="华文楷体" w:hAnsi="华文楷体" w:eastAsia="华文楷体" w:cs="华文楷体"/>
                <w:sz w:val="20"/>
                <w:szCs w:val="20"/>
                <w:highlight w:val="none"/>
                <w:lang w:val="en-US" w:eastAsia="zh-CN"/>
              </w:rPr>
            </w:pPr>
          </w:p>
        </w:tc>
      </w:tr>
      <w:tr w14:paraId="2990DCBC">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3EAEAC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17</w:t>
            </w:r>
          </w:p>
        </w:tc>
        <w:tc>
          <w:tcPr>
            <w:tcW w:w="1949" w:type="dxa"/>
            <w:tcBorders>
              <w:top w:val="single" w:color="auto" w:sz="4" w:space="0"/>
              <w:left w:val="single" w:color="auto" w:sz="4" w:space="0"/>
              <w:bottom w:val="single" w:color="auto" w:sz="4" w:space="0"/>
              <w:right w:val="single" w:color="auto" w:sz="4" w:space="0"/>
            </w:tcBorders>
            <w:noWrap/>
            <w:vAlign w:val="center"/>
          </w:tcPr>
          <w:p w14:paraId="5821C1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推杆</w:t>
            </w:r>
          </w:p>
        </w:tc>
        <w:tc>
          <w:tcPr>
            <w:tcW w:w="1062" w:type="dxa"/>
            <w:tcBorders>
              <w:top w:val="single" w:color="auto" w:sz="4" w:space="0"/>
              <w:left w:val="single" w:color="auto" w:sz="4" w:space="0"/>
              <w:bottom w:val="single" w:color="auto" w:sz="4" w:space="0"/>
              <w:right w:val="single" w:color="auto" w:sz="4" w:space="0"/>
            </w:tcBorders>
            <w:noWrap/>
            <w:vAlign w:val="center"/>
          </w:tcPr>
          <w:p w14:paraId="2DBFF2B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63344191">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377D03A">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A6F9143">
            <w:pPr>
              <w:spacing w:line="400" w:lineRule="exact"/>
              <w:jc w:val="center"/>
              <w:rPr>
                <w:rFonts w:hint="eastAsia" w:ascii="华文楷体" w:hAnsi="华文楷体" w:eastAsia="华文楷体" w:cs="华文楷体"/>
                <w:sz w:val="20"/>
                <w:szCs w:val="20"/>
                <w:highlight w:val="none"/>
                <w:lang w:val="en-US" w:eastAsia="zh-CN"/>
              </w:rPr>
            </w:pPr>
          </w:p>
        </w:tc>
      </w:tr>
      <w:tr w14:paraId="3595FE80">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5E4178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18</w:t>
            </w:r>
          </w:p>
        </w:tc>
        <w:tc>
          <w:tcPr>
            <w:tcW w:w="1949" w:type="dxa"/>
            <w:tcBorders>
              <w:top w:val="single" w:color="auto" w:sz="4" w:space="0"/>
              <w:left w:val="single" w:color="auto" w:sz="4" w:space="0"/>
              <w:bottom w:val="single" w:color="auto" w:sz="4" w:space="0"/>
              <w:right w:val="single" w:color="auto" w:sz="4" w:space="0"/>
            </w:tcBorders>
            <w:noWrap/>
            <w:vAlign w:val="center"/>
          </w:tcPr>
          <w:p w14:paraId="226C87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轴承</w:t>
            </w:r>
          </w:p>
        </w:tc>
        <w:tc>
          <w:tcPr>
            <w:tcW w:w="1062" w:type="dxa"/>
            <w:tcBorders>
              <w:top w:val="single" w:color="auto" w:sz="4" w:space="0"/>
              <w:left w:val="single" w:color="auto" w:sz="4" w:space="0"/>
              <w:bottom w:val="single" w:color="auto" w:sz="4" w:space="0"/>
              <w:right w:val="single" w:color="auto" w:sz="4" w:space="0"/>
            </w:tcBorders>
            <w:noWrap/>
            <w:vAlign w:val="center"/>
          </w:tcPr>
          <w:p w14:paraId="559298C5">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B1C7A50">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36F1C6B7">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00C38328">
            <w:pPr>
              <w:spacing w:line="400" w:lineRule="exact"/>
              <w:jc w:val="center"/>
              <w:rPr>
                <w:rFonts w:hint="eastAsia" w:ascii="华文楷体" w:hAnsi="华文楷体" w:eastAsia="华文楷体" w:cs="华文楷体"/>
                <w:sz w:val="20"/>
                <w:szCs w:val="20"/>
                <w:highlight w:val="none"/>
                <w:lang w:val="en-US" w:eastAsia="zh-CN"/>
              </w:rPr>
            </w:pPr>
          </w:p>
        </w:tc>
      </w:tr>
      <w:tr w14:paraId="75A12144">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AA277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19</w:t>
            </w:r>
          </w:p>
        </w:tc>
        <w:tc>
          <w:tcPr>
            <w:tcW w:w="1949" w:type="dxa"/>
            <w:tcBorders>
              <w:top w:val="single" w:color="auto" w:sz="4" w:space="0"/>
              <w:left w:val="single" w:color="auto" w:sz="4" w:space="0"/>
              <w:bottom w:val="single" w:color="auto" w:sz="4" w:space="0"/>
              <w:right w:val="single" w:color="auto" w:sz="4" w:space="0"/>
            </w:tcBorders>
            <w:noWrap/>
            <w:vAlign w:val="center"/>
          </w:tcPr>
          <w:p w14:paraId="1D4820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液压活塞</w:t>
            </w:r>
          </w:p>
        </w:tc>
        <w:tc>
          <w:tcPr>
            <w:tcW w:w="1062" w:type="dxa"/>
            <w:tcBorders>
              <w:top w:val="single" w:color="auto" w:sz="4" w:space="0"/>
              <w:left w:val="single" w:color="auto" w:sz="4" w:space="0"/>
              <w:bottom w:val="single" w:color="auto" w:sz="4" w:space="0"/>
              <w:right w:val="single" w:color="auto" w:sz="4" w:space="0"/>
            </w:tcBorders>
            <w:noWrap/>
            <w:vAlign w:val="center"/>
          </w:tcPr>
          <w:p w14:paraId="28BDFB59">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52444F4D">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A38282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6A95267F">
            <w:pPr>
              <w:spacing w:line="400" w:lineRule="exact"/>
              <w:jc w:val="center"/>
              <w:rPr>
                <w:rFonts w:hint="eastAsia" w:ascii="华文楷体" w:hAnsi="华文楷体" w:eastAsia="华文楷体" w:cs="华文楷体"/>
                <w:sz w:val="20"/>
                <w:szCs w:val="20"/>
                <w:highlight w:val="none"/>
                <w:lang w:val="en-US" w:eastAsia="zh-CN"/>
              </w:rPr>
            </w:pPr>
          </w:p>
        </w:tc>
      </w:tr>
      <w:tr w14:paraId="765EB2E8">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69B37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20</w:t>
            </w:r>
          </w:p>
        </w:tc>
        <w:tc>
          <w:tcPr>
            <w:tcW w:w="1949" w:type="dxa"/>
            <w:tcBorders>
              <w:top w:val="single" w:color="auto" w:sz="4" w:space="0"/>
              <w:left w:val="single" w:color="auto" w:sz="4" w:space="0"/>
              <w:bottom w:val="single" w:color="auto" w:sz="4" w:space="0"/>
              <w:right w:val="single" w:color="auto" w:sz="4" w:space="0"/>
            </w:tcBorders>
            <w:noWrap/>
            <w:vAlign w:val="center"/>
          </w:tcPr>
          <w:p w14:paraId="661F50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添加液压油</w:t>
            </w:r>
          </w:p>
        </w:tc>
        <w:tc>
          <w:tcPr>
            <w:tcW w:w="1062" w:type="dxa"/>
            <w:tcBorders>
              <w:top w:val="single" w:color="auto" w:sz="4" w:space="0"/>
              <w:left w:val="single" w:color="auto" w:sz="4" w:space="0"/>
              <w:bottom w:val="single" w:color="auto" w:sz="4" w:space="0"/>
              <w:right w:val="single" w:color="auto" w:sz="4" w:space="0"/>
            </w:tcBorders>
            <w:noWrap/>
            <w:vAlign w:val="center"/>
          </w:tcPr>
          <w:p w14:paraId="0A507B0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BB62967">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908CD3C">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F1CCC32">
            <w:pPr>
              <w:spacing w:line="400" w:lineRule="exact"/>
              <w:jc w:val="center"/>
              <w:rPr>
                <w:rFonts w:hint="eastAsia" w:ascii="华文楷体" w:hAnsi="华文楷体" w:eastAsia="华文楷体" w:cs="华文楷体"/>
                <w:sz w:val="20"/>
                <w:szCs w:val="20"/>
                <w:highlight w:val="none"/>
                <w:lang w:val="en-US" w:eastAsia="zh-CN"/>
              </w:rPr>
            </w:pPr>
          </w:p>
        </w:tc>
      </w:tr>
      <w:tr w14:paraId="6C1DD651">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8F86B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21</w:t>
            </w:r>
          </w:p>
        </w:tc>
        <w:tc>
          <w:tcPr>
            <w:tcW w:w="1949" w:type="dxa"/>
            <w:tcBorders>
              <w:top w:val="single" w:color="auto" w:sz="4" w:space="0"/>
              <w:left w:val="single" w:color="auto" w:sz="4" w:space="0"/>
              <w:bottom w:val="single" w:color="auto" w:sz="4" w:space="0"/>
              <w:right w:val="single" w:color="auto" w:sz="4" w:space="0"/>
            </w:tcBorders>
            <w:noWrap/>
            <w:vAlign w:val="center"/>
          </w:tcPr>
          <w:p w14:paraId="4612B3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长拉杆</w:t>
            </w:r>
          </w:p>
        </w:tc>
        <w:tc>
          <w:tcPr>
            <w:tcW w:w="1062" w:type="dxa"/>
            <w:tcBorders>
              <w:top w:val="single" w:color="auto" w:sz="4" w:space="0"/>
              <w:left w:val="single" w:color="auto" w:sz="4" w:space="0"/>
              <w:bottom w:val="single" w:color="auto" w:sz="4" w:space="0"/>
              <w:right w:val="single" w:color="auto" w:sz="4" w:space="0"/>
            </w:tcBorders>
            <w:noWrap/>
            <w:vAlign w:val="center"/>
          </w:tcPr>
          <w:p w14:paraId="710BBE09">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24AC7662">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8305CC2">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6F130426">
            <w:pPr>
              <w:spacing w:line="400" w:lineRule="exact"/>
              <w:jc w:val="center"/>
              <w:rPr>
                <w:rFonts w:hint="eastAsia" w:ascii="华文楷体" w:hAnsi="华文楷体" w:eastAsia="华文楷体" w:cs="华文楷体"/>
                <w:sz w:val="20"/>
                <w:szCs w:val="20"/>
                <w:highlight w:val="none"/>
                <w:lang w:val="en-US" w:eastAsia="zh-CN"/>
              </w:rPr>
            </w:pPr>
          </w:p>
        </w:tc>
      </w:tr>
      <w:tr w14:paraId="7AFBAF10">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9318D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22</w:t>
            </w:r>
          </w:p>
        </w:tc>
        <w:tc>
          <w:tcPr>
            <w:tcW w:w="1949" w:type="dxa"/>
            <w:tcBorders>
              <w:top w:val="single" w:color="auto" w:sz="4" w:space="0"/>
              <w:left w:val="single" w:color="auto" w:sz="4" w:space="0"/>
              <w:bottom w:val="single" w:color="auto" w:sz="4" w:space="0"/>
              <w:right w:val="single" w:color="auto" w:sz="4" w:space="0"/>
            </w:tcBorders>
            <w:noWrap/>
            <w:vAlign w:val="center"/>
          </w:tcPr>
          <w:p w14:paraId="507537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大卡簧55</w:t>
            </w:r>
          </w:p>
        </w:tc>
        <w:tc>
          <w:tcPr>
            <w:tcW w:w="1062" w:type="dxa"/>
            <w:tcBorders>
              <w:top w:val="single" w:color="auto" w:sz="4" w:space="0"/>
              <w:left w:val="single" w:color="auto" w:sz="4" w:space="0"/>
              <w:bottom w:val="single" w:color="auto" w:sz="4" w:space="0"/>
              <w:right w:val="single" w:color="auto" w:sz="4" w:space="0"/>
            </w:tcBorders>
            <w:noWrap/>
            <w:vAlign w:val="center"/>
          </w:tcPr>
          <w:p w14:paraId="55291EE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B47B441">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3DBB35B5">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797DC5A4">
            <w:pPr>
              <w:spacing w:line="400" w:lineRule="exact"/>
              <w:jc w:val="center"/>
              <w:rPr>
                <w:rFonts w:hint="eastAsia" w:ascii="华文楷体" w:hAnsi="华文楷体" w:eastAsia="华文楷体" w:cs="华文楷体"/>
                <w:sz w:val="20"/>
                <w:szCs w:val="20"/>
                <w:highlight w:val="none"/>
                <w:lang w:val="en-US" w:eastAsia="zh-CN"/>
              </w:rPr>
            </w:pPr>
          </w:p>
        </w:tc>
      </w:tr>
      <w:tr w14:paraId="18C57164">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544941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23</w:t>
            </w:r>
          </w:p>
        </w:tc>
        <w:tc>
          <w:tcPr>
            <w:tcW w:w="1949" w:type="dxa"/>
            <w:tcBorders>
              <w:top w:val="single" w:color="auto" w:sz="4" w:space="0"/>
              <w:left w:val="single" w:color="auto" w:sz="4" w:space="0"/>
              <w:bottom w:val="single" w:color="auto" w:sz="4" w:space="0"/>
              <w:right w:val="single" w:color="auto" w:sz="4" w:space="0"/>
            </w:tcBorders>
            <w:noWrap/>
            <w:vAlign w:val="center"/>
          </w:tcPr>
          <w:p w14:paraId="7DC568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小卡簧20</w:t>
            </w:r>
          </w:p>
        </w:tc>
        <w:tc>
          <w:tcPr>
            <w:tcW w:w="1062" w:type="dxa"/>
            <w:tcBorders>
              <w:top w:val="single" w:color="auto" w:sz="4" w:space="0"/>
              <w:left w:val="single" w:color="auto" w:sz="4" w:space="0"/>
              <w:bottom w:val="single" w:color="auto" w:sz="4" w:space="0"/>
              <w:right w:val="single" w:color="auto" w:sz="4" w:space="0"/>
            </w:tcBorders>
            <w:noWrap/>
            <w:vAlign w:val="center"/>
          </w:tcPr>
          <w:p w14:paraId="321BD90C">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1D36D092">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F39CA94">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4F256A7C">
            <w:pPr>
              <w:spacing w:line="400" w:lineRule="exact"/>
              <w:jc w:val="center"/>
              <w:rPr>
                <w:rFonts w:hint="eastAsia" w:ascii="华文楷体" w:hAnsi="华文楷体" w:eastAsia="华文楷体" w:cs="华文楷体"/>
                <w:sz w:val="20"/>
                <w:szCs w:val="20"/>
                <w:highlight w:val="none"/>
                <w:lang w:val="en-US" w:eastAsia="zh-CN"/>
              </w:rPr>
            </w:pPr>
          </w:p>
        </w:tc>
      </w:tr>
      <w:tr w14:paraId="7A83A43A">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DA811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24</w:t>
            </w:r>
          </w:p>
        </w:tc>
        <w:tc>
          <w:tcPr>
            <w:tcW w:w="1949" w:type="dxa"/>
            <w:tcBorders>
              <w:top w:val="single" w:color="auto" w:sz="4" w:space="0"/>
              <w:left w:val="single" w:color="auto" w:sz="4" w:space="0"/>
              <w:bottom w:val="single" w:color="auto" w:sz="4" w:space="0"/>
              <w:right w:val="single" w:color="auto" w:sz="4" w:space="0"/>
            </w:tcBorders>
            <w:noWrap/>
            <w:vAlign w:val="center"/>
          </w:tcPr>
          <w:p w14:paraId="6C54AC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长轴550</w:t>
            </w:r>
          </w:p>
        </w:tc>
        <w:tc>
          <w:tcPr>
            <w:tcW w:w="1062" w:type="dxa"/>
            <w:tcBorders>
              <w:top w:val="single" w:color="auto" w:sz="4" w:space="0"/>
              <w:left w:val="single" w:color="auto" w:sz="4" w:space="0"/>
              <w:bottom w:val="single" w:color="auto" w:sz="4" w:space="0"/>
              <w:right w:val="single" w:color="auto" w:sz="4" w:space="0"/>
            </w:tcBorders>
            <w:noWrap/>
            <w:vAlign w:val="center"/>
          </w:tcPr>
          <w:p w14:paraId="4297189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056DBE1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9B28D6F">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E087773">
            <w:pPr>
              <w:spacing w:line="400" w:lineRule="exact"/>
              <w:jc w:val="center"/>
              <w:rPr>
                <w:rFonts w:hint="eastAsia" w:ascii="华文楷体" w:hAnsi="华文楷体" w:eastAsia="华文楷体" w:cs="华文楷体"/>
                <w:sz w:val="20"/>
                <w:szCs w:val="20"/>
                <w:highlight w:val="none"/>
                <w:lang w:val="en-US" w:eastAsia="zh-CN"/>
              </w:rPr>
            </w:pPr>
          </w:p>
        </w:tc>
      </w:tr>
      <w:tr w14:paraId="30F65A0C">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5BAFA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25</w:t>
            </w:r>
          </w:p>
        </w:tc>
        <w:tc>
          <w:tcPr>
            <w:tcW w:w="1949" w:type="dxa"/>
            <w:tcBorders>
              <w:top w:val="single" w:color="auto" w:sz="4" w:space="0"/>
              <w:left w:val="single" w:color="auto" w:sz="4" w:space="0"/>
              <w:bottom w:val="single" w:color="auto" w:sz="4" w:space="0"/>
              <w:right w:val="single" w:color="auto" w:sz="4" w:space="0"/>
            </w:tcBorders>
            <w:noWrap/>
            <w:vAlign w:val="center"/>
          </w:tcPr>
          <w:p w14:paraId="488742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长轴685</w:t>
            </w:r>
          </w:p>
        </w:tc>
        <w:tc>
          <w:tcPr>
            <w:tcW w:w="1062" w:type="dxa"/>
            <w:tcBorders>
              <w:top w:val="single" w:color="auto" w:sz="4" w:space="0"/>
              <w:left w:val="single" w:color="auto" w:sz="4" w:space="0"/>
              <w:bottom w:val="single" w:color="auto" w:sz="4" w:space="0"/>
              <w:right w:val="single" w:color="auto" w:sz="4" w:space="0"/>
            </w:tcBorders>
            <w:noWrap/>
            <w:vAlign w:val="center"/>
          </w:tcPr>
          <w:p w14:paraId="59525FE2">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75ADF06">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06BED97">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49702B4">
            <w:pPr>
              <w:spacing w:line="400" w:lineRule="exact"/>
              <w:jc w:val="center"/>
              <w:rPr>
                <w:rFonts w:hint="eastAsia" w:ascii="华文楷体" w:hAnsi="华文楷体" w:eastAsia="华文楷体" w:cs="华文楷体"/>
                <w:sz w:val="20"/>
                <w:szCs w:val="20"/>
                <w:highlight w:val="none"/>
                <w:lang w:val="en-US" w:eastAsia="zh-CN"/>
              </w:rPr>
            </w:pPr>
          </w:p>
        </w:tc>
      </w:tr>
      <w:tr w14:paraId="1E53486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2BD40D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26</w:t>
            </w:r>
          </w:p>
        </w:tc>
        <w:tc>
          <w:tcPr>
            <w:tcW w:w="1949" w:type="dxa"/>
            <w:tcBorders>
              <w:top w:val="single" w:color="auto" w:sz="4" w:space="0"/>
              <w:left w:val="single" w:color="auto" w:sz="4" w:space="0"/>
              <w:bottom w:val="single" w:color="auto" w:sz="4" w:space="0"/>
              <w:right w:val="single" w:color="auto" w:sz="4" w:space="0"/>
            </w:tcBorders>
            <w:noWrap/>
            <w:vAlign w:val="center"/>
          </w:tcPr>
          <w:p w14:paraId="16EAB9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平面轴承</w:t>
            </w:r>
          </w:p>
        </w:tc>
        <w:tc>
          <w:tcPr>
            <w:tcW w:w="1062" w:type="dxa"/>
            <w:tcBorders>
              <w:top w:val="single" w:color="auto" w:sz="4" w:space="0"/>
              <w:left w:val="single" w:color="auto" w:sz="4" w:space="0"/>
              <w:bottom w:val="single" w:color="auto" w:sz="4" w:space="0"/>
              <w:right w:val="single" w:color="auto" w:sz="4" w:space="0"/>
            </w:tcBorders>
            <w:noWrap/>
            <w:vAlign w:val="center"/>
          </w:tcPr>
          <w:p w14:paraId="6EF49E4A">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14620BC">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6E1BEDCE">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70FCEC53">
            <w:pPr>
              <w:spacing w:line="400" w:lineRule="exact"/>
              <w:jc w:val="center"/>
              <w:rPr>
                <w:rFonts w:hint="eastAsia" w:ascii="华文楷体" w:hAnsi="华文楷体" w:eastAsia="华文楷体" w:cs="华文楷体"/>
                <w:sz w:val="20"/>
                <w:szCs w:val="20"/>
                <w:highlight w:val="none"/>
                <w:lang w:val="en-US" w:eastAsia="zh-CN"/>
              </w:rPr>
            </w:pPr>
          </w:p>
        </w:tc>
      </w:tr>
      <w:tr w14:paraId="7E6F13E5">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170938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27</w:t>
            </w:r>
          </w:p>
        </w:tc>
        <w:tc>
          <w:tcPr>
            <w:tcW w:w="1949" w:type="dxa"/>
            <w:tcBorders>
              <w:top w:val="single" w:color="auto" w:sz="4" w:space="0"/>
              <w:left w:val="single" w:color="auto" w:sz="4" w:space="0"/>
              <w:bottom w:val="single" w:color="auto" w:sz="4" w:space="0"/>
              <w:right w:val="single" w:color="auto" w:sz="4" w:space="0"/>
            </w:tcBorders>
            <w:noWrap/>
            <w:vAlign w:val="center"/>
          </w:tcPr>
          <w:p w14:paraId="6BAC63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连杆接头</w:t>
            </w:r>
          </w:p>
        </w:tc>
        <w:tc>
          <w:tcPr>
            <w:tcW w:w="1062" w:type="dxa"/>
            <w:tcBorders>
              <w:top w:val="single" w:color="auto" w:sz="4" w:space="0"/>
              <w:left w:val="single" w:color="auto" w:sz="4" w:space="0"/>
              <w:bottom w:val="single" w:color="auto" w:sz="4" w:space="0"/>
              <w:right w:val="single" w:color="auto" w:sz="4" w:space="0"/>
            </w:tcBorders>
            <w:noWrap/>
            <w:vAlign w:val="center"/>
          </w:tcPr>
          <w:p w14:paraId="18A271BA">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0CBACA6F">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712C3D0">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EF994DA">
            <w:pPr>
              <w:spacing w:line="400" w:lineRule="exact"/>
              <w:jc w:val="center"/>
              <w:rPr>
                <w:rFonts w:hint="eastAsia" w:ascii="华文楷体" w:hAnsi="华文楷体" w:eastAsia="华文楷体" w:cs="华文楷体"/>
                <w:sz w:val="20"/>
                <w:szCs w:val="20"/>
                <w:highlight w:val="none"/>
                <w:lang w:val="en-US" w:eastAsia="zh-CN"/>
              </w:rPr>
            </w:pPr>
          </w:p>
        </w:tc>
      </w:tr>
      <w:tr w14:paraId="49AD1423">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F7BB7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28</w:t>
            </w:r>
          </w:p>
        </w:tc>
        <w:tc>
          <w:tcPr>
            <w:tcW w:w="1949" w:type="dxa"/>
            <w:tcBorders>
              <w:top w:val="single" w:color="auto" w:sz="4" w:space="0"/>
              <w:left w:val="single" w:color="auto" w:sz="4" w:space="0"/>
              <w:bottom w:val="single" w:color="auto" w:sz="4" w:space="0"/>
              <w:right w:val="single" w:color="auto" w:sz="4" w:space="0"/>
            </w:tcBorders>
            <w:noWrap/>
            <w:vAlign w:val="center"/>
          </w:tcPr>
          <w:p w14:paraId="040F02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支撑座</w:t>
            </w:r>
          </w:p>
        </w:tc>
        <w:tc>
          <w:tcPr>
            <w:tcW w:w="1062" w:type="dxa"/>
            <w:tcBorders>
              <w:top w:val="single" w:color="auto" w:sz="4" w:space="0"/>
              <w:left w:val="single" w:color="auto" w:sz="4" w:space="0"/>
              <w:bottom w:val="single" w:color="auto" w:sz="4" w:space="0"/>
              <w:right w:val="single" w:color="auto" w:sz="4" w:space="0"/>
            </w:tcBorders>
            <w:noWrap/>
            <w:vAlign w:val="center"/>
          </w:tcPr>
          <w:p w14:paraId="6BF46B35">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0E91CAF">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B339A71">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11FD3B14">
            <w:pPr>
              <w:spacing w:line="400" w:lineRule="exact"/>
              <w:jc w:val="center"/>
              <w:rPr>
                <w:rFonts w:hint="eastAsia" w:ascii="华文楷体" w:hAnsi="华文楷体" w:eastAsia="华文楷体" w:cs="华文楷体"/>
                <w:sz w:val="20"/>
                <w:szCs w:val="20"/>
                <w:highlight w:val="none"/>
                <w:lang w:val="en-US" w:eastAsia="zh-CN"/>
              </w:rPr>
            </w:pPr>
          </w:p>
        </w:tc>
      </w:tr>
      <w:tr w14:paraId="147C811E">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39B1D2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29</w:t>
            </w:r>
          </w:p>
        </w:tc>
        <w:tc>
          <w:tcPr>
            <w:tcW w:w="1949" w:type="dxa"/>
            <w:tcBorders>
              <w:top w:val="single" w:color="auto" w:sz="4" w:space="0"/>
              <w:left w:val="single" w:color="auto" w:sz="4" w:space="0"/>
              <w:bottom w:val="single" w:color="auto" w:sz="4" w:space="0"/>
              <w:right w:val="single" w:color="auto" w:sz="4" w:space="0"/>
            </w:tcBorders>
            <w:noWrap/>
            <w:vAlign w:val="center"/>
          </w:tcPr>
          <w:p w14:paraId="1423B1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摇臂</w:t>
            </w:r>
          </w:p>
        </w:tc>
        <w:tc>
          <w:tcPr>
            <w:tcW w:w="1062" w:type="dxa"/>
            <w:tcBorders>
              <w:top w:val="single" w:color="auto" w:sz="4" w:space="0"/>
              <w:left w:val="single" w:color="auto" w:sz="4" w:space="0"/>
              <w:bottom w:val="single" w:color="auto" w:sz="4" w:space="0"/>
              <w:right w:val="single" w:color="auto" w:sz="4" w:space="0"/>
            </w:tcBorders>
            <w:noWrap/>
            <w:vAlign w:val="center"/>
          </w:tcPr>
          <w:p w14:paraId="67EF7CE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C3D1214">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4911B54">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48F74E86">
            <w:pPr>
              <w:spacing w:line="400" w:lineRule="exact"/>
              <w:jc w:val="center"/>
              <w:rPr>
                <w:rFonts w:hint="eastAsia" w:ascii="华文楷体" w:hAnsi="华文楷体" w:eastAsia="华文楷体" w:cs="华文楷体"/>
                <w:sz w:val="20"/>
                <w:szCs w:val="20"/>
                <w:highlight w:val="none"/>
                <w:lang w:val="en-US" w:eastAsia="zh-CN"/>
              </w:rPr>
            </w:pPr>
          </w:p>
        </w:tc>
      </w:tr>
      <w:tr w14:paraId="37AE32F6">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337F1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30</w:t>
            </w:r>
          </w:p>
        </w:tc>
        <w:tc>
          <w:tcPr>
            <w:tcW w:w="1949" w:type="dxa"/>
            <w:tcBorders>
              <w:top w:val="single" w:color="auto" w:sz="4" w:space="0"/>
              <w:left w:val="single" w:color="auto" w:sz="4" w:space="0"/>
              <w:bottom w:val="single" w:color="auto" w:sz="4" w:space="0"/>
              <w:right w:val="single" w:color="auto" w:sz="4" w:space="0"/>
            </w:tcBorders>
            <w:noWrap/>
            <w:vAlign w:val="center"/>
          </w:tcPr>
          <w:p w14:paraId="0FB746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轮架</w:t>
            </w:r>
          </w:p>
        </w:tc>
        <w:tc>
          <w:tcPr>
            <w:tcW w:w="1062" w:type="dxa"/>
            <w:tcBorders>
              <w:top w:val="single" w:color="auto" w:sz="4" w:space="0"/>
              <w:left w:val="single" w:color="auto" w:sz="4" w:space="0"/>
              <w:bottom w:val="single" w:color="auto" w:sz="4" w:space="0"/>
              <w:right w:val="single" w:color="auto" w:sz="4" w:space="0"/>
            </w:tcBorders>
            <w:noWrap/>
            <w:vAlign w:val="center"/>
          </w:tcPr>
          <w:p w14:paraId="482A85DB">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4C05F91">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1FCD4C0">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7382C8A1">
            <w:pPr>
              <w:spacing w:line="400" w:lineRule="exact"/>
              <w:jc w:val="center"/>
              <w:rPr>
                <w:rFonts w:hint="eastAsia" w:ascii="华文楷体" w:hAnsi="华文楷体" w:eastAsia="华文楷体" w:cs="华文楷体"/>
                <w:sz w:val="20"/>
                <w:szCs w:val="20"/>
                <w:highlight w:val="none"/>
                <w:lang w:val="en-US" w:eastAsia="zh-CN"/>
              </w:rPr>
            </w:pPr>
          </w:p>
        </w:tc>
      </w:tr>
      <w:tr w14:paraId="3C3A4DB9">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A4412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31</w:t>
            </w:r>
          </w:p>
        </w:tc>
        <w:tc>
          <w:tcPr>
            <w:tcW w:w="1949" w:type="dxa"/>
            <w:tcBorders>
              <w:top w:val="single" w:color="auto" w:sz="4" w:space="0"/>
              <w:left w:val="single" w:color="auto" w:sz="4" w:space="0"/>
              <w:bottom w:val="single" w:color="auto" w:sz="4" w:space="0"/>
              <w:right w:val="single" w:color="auto" w:sz="4" w:space="0"/>
            </w:tcBorders>
            <w:noWrap/>
            <w:vAlign w:val="center"/>
          </w:tcPr>
          <w:p w14:paraId="246D7A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油壶</w:t>
            </w:r>
          </w:p>
        </w:tc>
        <w:tc>
          <w:tcPr>
            <w:tcW w:w="1062" w:type="dxa"/>
            <w:tcBorders>
              <w:top w:val="single" w:color="auto" w:sz="4" w:space="0"/>
              <w:left w:val="single" w:color="auto" w:sz="4" w:space="0"/>
              <w:bottom w:val="single" w:color="auto" w:sz="4" w:space="0"/>
              <w:right w:val="single" w:color="auto" w:sz="4" w:space="0"/>
            </w:tcBorders>
            <w:noWrap/>
            <w:vAlign w:val="center"/>
          </w:tcPr>
          <w:p w14:paraId="58D3B7BE">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7D9CA212">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627EE206">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5F48DA2">
            <w:pPr>
              <w:spacing w:line="400" w:lineRule="exact"/>
              <w:jc w:val="center"/>
              <w:rPr>
                <w:rFonts w:hint="eastAsia" w:ascii="华文楷体" w:hAnsi="华文楷体" w:eastAsia="华文楷体" w:cs="华文楷体"/>
                <w:sz w:val="20"/>
                <w:szCs w:val="20"/>
                <w:highlight w:val="none"/>
                <w:lang w:val="en-US" w:eastAsia="zh-CN"/>
              </w:rPr>
            </w:pPr>
          </w:p>
        </w:tc>
      </w:tr>
      <w:tr w14:paraId="4C9FA768">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1AFD94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32</w:t>
            </w:r>
          </w:p>
        </w:tc>
        <w:tc>
          <w:tcPr>
            <w:tcW w:w="1949" w:type="dxa"/>
            <w:tcBorders>
              <w:top w:val="single" w:color="auto" w:sz="4" w:space="0"/>
              <w:left w:val="single" w:color="auto" w:sz="4" w:space="0"/>
              <w:bottom w:val="single" w:color="auto" w:sz="4" w:space="0"/>
              <w:right w:val="single" w:color="auto" w:sz="4" w:space="0"/>
            </w:tcBorders>
            <w:noWrap/>
            <w:vAlign w:val="center"/>
          </w:tcPr>
          <w:p w14:paraId="44CF19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承重拉杆</w:t>
            </w:r>
          </w:p>
        </w:tc>
        <w:tc>
          <w:tcPr>
            <w:tcW w:w="1062" w:type="dxa"/>
            <w:tcBorders>
              <w:top w:val="single" w:color="auto" w:sz="4" w:space="0"/>
              <w:left w:val="single" w:color="auto" w:sz="4" w:space="0"/>
              <w:bottom w:val="single" w:color="auto" w:sz="4" w:space="0"/>
              <w:right w:val="single" w:color="auto" w:sz="4" w:space="0"/>
            </w:tcBorders>
            <w:noWrap/>
            <w:vAlign w:val="center"/>
          </w:tcPr>
          <w:p w14:paraId="3962D05C">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33B6C9E9">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9436306">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E655156">
            <w:pPr>
              <w:spacing w:line="400" w:lineRule="exact"/>
              <w:jc w:val="center"/>
              <w:rPr>
                <w:rFonts w:hint="eastAsia" w:ascii="华文楷体" w:hAnsi="华文楷体" w:eastAsia="华文楷体" w:cs="华文楷体"/>
                <w:sz w:val="20"/>
                <w:szCs w:val="20"/>
                <w:highlight w:val="none"/>
                <w:lang w:val="en-US" w:eastAsia="zh-CN"/>
              </w:rPr>
            </w:pPr>
          </w:p>
        </w:tc>
      </w:tr>
      <w:tr w14:paraId="4FCCAC6C">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1FC77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33</w:t>
            </w:r>
          </w:p>
        </w:tc>
        <w:tc>
          <w:tcPr>
            <w:tcW w:w="1949" w:type="dxa"/>
            <w:tcBorders>
              <w:top w:val="single" w:color="auto" w:sz="4" w:space="0"/>
              <w:left w:val="single" w:color="auto" w:sz="4" w:space="0"/>
              <w:bottom w:val="single" w:color="auto" w:sz="4" w:space="0"/>
              <w:right w:val="single" w:color="auto" w:sz="4" w:space="0"/>
            </w:tcBorders>
            <w:noWrap/>
            <w:vAlign w:val="center"/>
          </w:tcPr>
          <w:p w14:paraId="38B068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手把座</w:t>
            </w:r>
          </w:p>
        </w:tc>
        <w:tc>
          <w:tcPr>
            <w:tcW w:w="1062" w:type="dxa"/>
            <w:tcBorders>
              <w:top w:val="single" w:color="auto" w:sz="4" w:space="0"/>
              <w:left w:val="single" w:color="auto" w:sz="4" w:space="0"/>
              <w:bottom w:val="single" w:color="auto" w:sz="4" w:space="0"/>
              <w:right w:val="single" w:color="auto" w:sz="4" w:space="0"/>
            </w:tcBorders>
            <w:noWrap/>
            <w:vAlign w:val="center"/>
          </w:tcPr>
          <w:p w14:paraId="47B7867A">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E2A58A5">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FD9E1F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3EEF94A7">
            <w:pPr>
              <w:spacing w:line="400" w:lineRule="exact"/>
              <w:jc w:val="center"/>
              <w:rPr>
                <w:rFonts w:hint="eastAsia" w:ascii="华文楷体" w:hAnsi="华文楷体" w:eastAsia="华文楷体" w:cs="华文楷体"/>
                <w:sz w:val="20"/>
                <w:szCs w:val="20"/>
                <w:highlight w:val="none"/>
                <w:lang w:val="en-US" w:eastAsia="zh-CN"/>
              </w:rPr>
            </w:pPr>
          </w:p>
        </w:tc>
      </w:tr>
      <w:tr w14:paraId="418F2945">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76EBA6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34</w:t>
            </w:r>
          </w:p>
        </w:tc>
        <w:tc>
          <w:tcPr>
            <w:tcW w:w="1949" w:type="dxa"/>
            <w:tcBorders>
              <w:top w:val="single" w:color="auto" w:sz="4" w:space="0"/>
              <w:left w:val="single" w:color="auto" w:sz="4" w:space="0"/>
              <w:bottom w:val="single" w:color="auto" w:sz="4" w:space="0"/>
              <w:right w:val="single" w:color="auto" w:sz="4" w:space="0"/>
            </w:tcBorders>
            <w:noWrap/>
            <w:vAlign w:val="center"/>
          </w:tcPr>
          <w:p w14:paraId="6B32E6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小轮大架</w:t>
            </w:r>
          </w:p>
        </w:tc>
        <w:tc>
          <w:tcPr>
            <w:tcW w:w="1062" w:type="dxa"/>
            <w:tcBorders>
              <w:top w:val="single" w:color="auto" w:sz="4" w:space="0"/>
              <w:left w:val="single" w:color="auto" w:sz="4" w:space="0"/>
              <w:bottom w:val="single" w:color="auto" w:sz="4" w:space="0"/>
              <w:right w:val="single" w:color="auto" w:sz="4" w:space="0"/>
            </w:tcBorders>
            <w:noWrap/>
            <w:vAlign w:val="center"/>
          </w:tcPr>
          <w:p w14:paraId="532A33E0">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B02D98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11EE440">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3A6B89AE">
            <w:pPr>
              <w:spacing w:line="400" w:lineRule="exact"/>
              <w:jc w:val="center"/>
              <w:rPr>
                <w:rFonts w:hint="eastAsia" w:ascii="华文楷体" w:hAnsi="华文楷体" w:eastAsia="华文楷体" w:cs="华文楷体"/>
                <w:sz w:val="20"/>
                <w:szCs w:val="20"/>
                <w:highlight w:val="none"/>
                <w:lang w:val="en-US" w:eastAsia="zh-CN"/>
              </w:rPr>
            </w:pPr>
          </w:p>
        </w:tc>
      </w:tr>
      <w:tr w14:paraId="28016D7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40C87D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35</w:t>
            </w:r>
          </w:p>
        </w:tc>
        <w:tc>
          <w:tcPr>
            <w:tcW w:w="1949" w:type="dxa"/>
            <w:tcBorders>
              <w:top w:val="single" w:color="auto" w:sz="4" w:space="0"/>
              <w:left w:val="single" w:color="auto" w:sz="4" w:space="0"/>
              <w:bottom w:val="single" w:color="auto" w:sz="4" w:space="0"/>
              <w:right w:val="single" w:color="auto" w:sz="4" w:space="0"/>
            </w:tcBorders>
            <w:noWrap/>
            <w:vAlign w:val="center"/>
          </w:tcPr>
          <w:p w14:paraId="3EEE47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双轮架</w:t>
            </w:r>
          </w:p>
        </w:tc>
        <w:tc>
          <w:tcPr>
            <w:tcW w:w="1062" w:type="dxa"/>
            <w:tcBorders>
              <w:top w:val="single" w:color="auto" w:sz="4" w:space="0"/>
              <w:left w:val="single" w:color="auto" w:sz="4" w:space="0"/>
              <w:bottom w:val="single" w:color="auto" w:sz="4" w:space="0"/>
              <w:right w:val="single" w:color="auto" w:sz="4" w:space="0"/>
            </w:tcBorders>
            <w:noWrap/>
            <w:vAlign w:val="center"/>
          </w:tcPr>
          <w:p w14:paraId="7125FC7F">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011468B3">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0589243">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B064F3C">
            <w:pPr>
              <w:spacing w:line="400" w:lineRule="exact"/>
              <w:jc w:val="center"/>
              <w:rPr>
                <w:rFonts w:hint="eastAsia" w:ascii="华文楷体" w:hAnsi="华文楷体" w:eastAsia="华文楷体" w:cs="华文楷体"/>
                <w:sz w:val="20"/>
                <w:szCs w:val="20"/>
                <w:highlight w:val="none"/>
                <w:lang w:val="en-US" w:eastAsia="zh-CN"/>
              </w:rPr>
            </w:pPr>
          </w:p>
        </w:tc>
      </w:tr>
      <w:tr w14:paraId="2CF658F5">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28D6A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36</w:t>
            </w:r>
          </w:p>
        </w:tc>
        <w:tc>
          <w:tcPr>
            <w:tcW w:w="1949" w:type="dxa"/>
            <w:tcBorders>
              <w:top w:val="single" w:color="auto" w:sz="4" w:space="0"/>
              <w:left w:val="single" w:color="auto" w:sz="4" w:space="0"/>
              <w:bottom w:val="single" w:color="auto" w:sz="4" w:space="0"/>
              <w:right w:val="single" w:color="auto" w:sz="4" w:space="0"/>
            </w:tcBorders>
            <w:noWrap/>
            <w:vAlign w:val="center"/>
          </w:tcPr>
          <w:p w14:paraId="46C946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双连板</w:t>
            </w:r>
          </w:p>
        </w:tc>
        <w:tc>
          <w:tcPr>
            <w:tcW w:w="1062" w:type="dxa"/>
            <w:tcBorders>
              <w:top w:val="single" w:color="auto" w:sz="4" w:space="0"/>
              <w:left w:val="single" w:color="auto" w:sz="4" w:space="0"/>
              <w:bottom w:val="single" w:color="auto" w:sz="4" w:space="0"/>
              <w:right w:val="single" w:color="auto" w:sz="4" w:space="0"/>
            </w:tcBorders>
            <w:noWrap/>
            <w:vAlign w:val="center"/>
          </w:tcPr>
          <w:p w14:paraId="1F0C475D">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26BB524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D57A2FB">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0F01DC14">
            <w:pPr>
              <w:spacing w:line="400" w:lineRule="exact"/>
              <w:jc w:val="center"/>
              <w:rPr>
                <w:rFonts w:hint="eastAsia" w:ascii="华文楷体" w:hAnsi="华文楷体" w:eastAsia="华文楷体" w:cs="华文楷体"/>
                <w:sz w:val="20"/>
                <w:szCs w:val="20"/>
                <w:highlight w:val="none"/>
                <w:lang w:val="en-US" w:eastAsia="zh-CN"/>
              </w:rPr>
            </w:pPr>
          </w:p>
        </w:tc>
      </w:tr>
      <w:tr w14:paraId="7E7D7ADD">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4FA9CA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37</w:t>
            </w:r>
          </w:p>
        </w:tc>
        <w:tc>
          <w:tcPr>
            <w:tcW w:w="1949" w:type="dxa"/>
            <w:tcBorders>
              <w:top w:val="single" w:color="auto" w:sz="4" w:space="0"/>
              <w:left w:val="single" w:color="auto" w:sz="4" w:space="0"/>
              <w:bottom w:val="single" w:color="auto" w:sz="4" w:space="0"/>
              <w:right w:val="single" w:color="auto" w:sz="4" w:space="0"/>
            </w:tcBorders>
            <w:noWrap/>
            <w:vAlign w:val="center"/>
          </w:tcPr>
          <w:p w14:paraId="2D0275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油壶+盖+外罩</w:t>
            </w:r>
          </w:p>
        </w:tc>
        <w:tc>
          <w:tcPr>
            <w:tcW w:w="1062" w:type="dxa"/>
            <w:tcBorders>
              <w:top w:val="single" w:color="auto" w:sz="4" w:space="0"/>
              <w:left w:val="single" w:color="auto" w:sz="4" w:space="0"/>
              <w:bottom w:val="single" w:color="auto" w:sz="4" w:space="0"/>
              <w:right w:val="single" w:color="auto" w:sz="4" w:space="0"/>
            </w:tcBorders>
            <w:noWrap/>
            <w:vAlign w:val="center"/>
          </w:tcPr>
          <w:p w14:paraId="68B191A2">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5830789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9B08078">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7C703C18">
            <w:pPr>
              <w:spacing w:line="400" w:lineRule="exact"/>
              <w:jc w:val="center"/>
              <w:rPr>
                <w:rFonts w:hint="eastAsia" w:ascii="华文楷体" w:hAnsi="华文楷体" w:eastAsia="华文楷体" w:cs="华文楷体"/>
                <w:sz w:val="20"/>
                <w:szCs w:val="20"/>
                <w:highlight w:val="none"/>
                <w:lang w:val="en-US" w:eastAsia="zh-CN"/>
              </w:rPr>
            </w:pPr>
          </w:p>
        </w:tc>
      </w:tr>
      <w:tr w14:paraId="77BAA5E3">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8AE7C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38</w:t>
            </w:r>
          </w:p>
        </w:tc>
        <w:tc>
          <w:tcPr>
            <w:tcW w:w="1949" w:type="dxa"/>
            <w:tcBorders>
              <w:top w:val="single" w:color="auto" w:sz="4" w:space="0"/>
              <w:left w:val="single" w:color="auto" w:sz="4" w:space="0"/>
              <w:bottom w:val="single" w:color="auto" w:sz="4" w:space="0"/>
              <w:right w:val="single" w:color="auto" w:sz="4" w:space="0"/>
            </w:tcBorders>
            <w:noWrap/>
            <w:vAlign w:val="center"/>
          </w:tcPr>
          <w:p w14:paraId="627968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小泵芯</w:t>
            </w:r>
          </w:p>
        </w:tc>
        <w:tc>
          <w:tcPr>
            <w:tcW w:w="1062" w:type="dxa"/>
            <w:tcBorders>
              <w:top w:val="single" w:color="auto" w:sz="4" w:space="0"/>
              <w:left w:val="single" w:color="auto" w:sz="4" w:space="0"/>
              <w:bottom w:val="single" w:color="auto" w:sz="4" w:space="0"/>
              <w:right w:val="single" w:color="auto" w:sz="4" w:space="0"/>
            </w:tcBorders>
            <w:noWrap/>
            <w:vAlign w:val="center"/>
          </w:tcPr>
          <w:p w14:paraId="1701198C">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1B52631E">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04A85EE4">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0F5062F7">
            <w:pPr>
              <w:spacing w:line="400" w:lineRule="exact"/>
              <w:jc w:val="center"/>
              <w:rPr>
                <w:rFonts w:hint="eastAsia" w:ascii="华文楷体" w:hAnsi="华文楷体" w:eastAsia="华文楷体" w:cs="华文楷体"/>
                <w:sz w:val="20"/>
                <w:szCs w:val="20"/>
                <w:highlight w:val="none"/>
                <w:lang w:val="en-US" w:eastAsia="zh-CN"/>
              </w:rPr>
            </w:pPr>
          </w:p>
        </w:tc>
      </w:tr>
      <w:tr w14:paraId="3FBC6C8B">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3E7262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39</w:t>
            </w:r>
          </w:p>
        </w:tc>
        <w:tc>
          <w:tcPr>
            <w:tcW w:w="1949" w:type="dxa"/>
            <w:tcBorders>
              <w:top w:val="single" w:color="auto" w:sz="4" w:space="0"/>
              <w:left w:val="single" w:color="auto" w:sz="4" w:space="0"/>
              <w:bottom w:val="single" w:color="auto" w:sz="4" w:space="0"/>
              <w:right w:val="single" w:color="auto" w:sz="4" w:space="0"/>
            </w:tcBorders>
            <w:noWrap/>
            <w:vAlign w:val="center"/>
          </w:tcPr>
          <w:p w14:paraId="14EC2F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大泵芯</w:t>
            </w:r>
          </w:p>
        </w:tc>
        <w:tc>
          <w:tcPr>
            <w:tcW w:w="1062" w:type="dxa"/>
            <w:tcBorders>
              <w:top w:val="single" w:color="auto" w:sz="4" w:space="0"/>
              <w:left w:val="single" w:color="auto" w:sz="4" w:space="0"/>
              <w:bottom w:val="single" w:color="auto" w:sz="4" w:space="0"/>
              <w:right w:val="single" w:color="auto" w:sz="4" w:space="0"/>
            </w:tcBorders>
            <w:noWrap/>
            <w:vAlign w:val="center"/>
          </w:tcPr>
          <w:p w14:paraId="4D32738F">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6759D526">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455F1A73">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6F31117F">
            <w:pPr>
              <w:spacing w:line="400" w:lineRule="exact"/>
              <w:jc w:val="center"/>
              <w:rPr>
                <w:rFonts w:hint="eastAsia" w:ascii="华文楷体" w:hAnsi="华文楷体" w:eastAsia="华文楷体" w:cs="华文楷体"/>
                <w:sz w:val="20"/>
                <w:szCs w:val="20"/>
                <w:highlight w:val="none"/>
                <w:lang w:val="en-US" w:eastAsia="zh-CN"/>
              </w:rPr>
            </w:pPr>
          </w:p>
        </w:tc>
      </w:tr>
      <w:tr w14:paraId="7F2C162F">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3D12CB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40</w:t>
            </w:r>
          </w:p>
        </w:tc>
        <w:tc>
          <w:tcPr>
            <w:tcW w:w="1949" w:type="dxa"/>
            <w:tcBorders>
              <w:top w:val="single" w:color="auto" w:sz="4" w:space="0"/>
              <w:left w:val="single" w:color="auto" w:sz="4" w:space="0"/>
              <w:bottom w:val="single" w:color="auto" w:sz="4" w:space="0"/>
              <w:right w:val="single" w:color="auto" w:sz="4" w:space="0"/>
            </w:tcBorders>
            <w:noWrap/>
            <w:vAlign w:val="center"/>
          </w:tcPr>
          <w:p w14:paraId="78F682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下降滑板</w:t>
            </w:r>
          </w:p>
        </w:tc>
        <w:tc>
          <w:tcPr>
            <w:tcW w:w="1062" w:type="dxa"/>
            <w:tcBorders>
              <w:top w:val="single" w:color="auto" w:sz="4" w:space="0"/>
              <w:left w:val="single" w:color="auto" w:sz="4" w:space="0"/>
              <w:bottom w:val="single" w:color="auto" w:sz="4" w:space="0"/>
              <w:right w:val="single" w:color="auto" w:sz="4" w:space="0"/>
            </w:tcBorders>
            <w:noWrap/>
            <w:vAlign w:val="center"/>
          </w:tcPr>
          <w:p w14:paraId="7B8AF4F3">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295B1F12">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51727693">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2BCDB70E">
            <w:pPr>
              <w:spacing w:line="400" w:lineRule="exact"/>
              <w:jc w:val="center"/>
              <w:rPr>
                <w:rFonts w:hint="eastAsia" w:ascii="华文楷体" w:hAnsi="华文楷体" w:eastAsia="华文楷体" w:cs="华文楷体"/>
                <w:sz w:val="20"/>
                <w:szCs w:val="20"/>
                <w:highlight w:val="none"/>
                <w:lang w:val="en-US" w:eastAsia="zh-CN"/>
              </w:rPr>
            </w:pPr>
          </w:p>
        </w:tc>
      </w:tr>
      <w:tr w14:paraId="00280FD4">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3EE6E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41</w:t>
            </w:r>
          </w:p>
        </w:tc>
        <w:tc>
          <w:tcPr>
            <w:tcW w:w="1949" w:type="dxa"/>
            <w:tcBorders>
              <w:top w:val="single" w:color="auto" w:sz="4" w:space="0"/>
              <w:left w:val="single" w:color="auto" w:sz="4" w:space="0"/>
              <w:bottom w:val="single" w:color="auto" w:sz="4" w:space="0"/>
              <w:right w:val="single" w:color="auto" w:sz="4" w:space="0"/>
            </w:tcBorders>
            <w:noWrap/>
            <w:vAlign w:val="center"/>
          </w:tcPr>
          <w:p w14:paraId="48334C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手柄滚轮轴</w:t>
            </w:r>
          </w:p>
        </w:tc>
        <w:tc>
          <w:tcPr>
            <w:tcW w:w="1062" w:type="dxa"/>
            <w:tcBorders>
              <w:top w:val="single" w:color="auto" w:sz="4" w:space="0"/>
              <w:left w:val="single" w:color="auto" w:sz="4" w:space="0"/>
              <w:bottom w:val="single" w:color="auto" w:sz="4" w:space="0"/>
              <w:right w:val="single" w:color="auto" w:sz="4" w:space="0"/>
            </w:tcBorders>
            <w:noWrap/>
            <w:vAlign w:val="center"/>
          </w:tcPr>
          <w:p w14:paraId="59BDCF69">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09567E3">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685BDC0C">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3596EADD">
            <w:pPr>
              <w:spacing w:line="400" w:lineRule="exact"/>
              <w:jc w:val="center"/>
              <w:rPr>
                <w:rFonts w:hint="eastAsia" w:ascii="华文楷体" w:hAnsi="华文楷体" w:eastAsia="华文楷体" w:cs="华文楷体"/>
                <w:sz w:val="20"/>
                <w:szCs w:val="20"/>
                <w:highlight w:val="none"/>
                <w:lang w:val="en-US" w:eastAsia="zh-CN"/>
              </w:rPr>
            </w:pPr>
          </w:p>
        </w:tc>
      </w:tr>
      <w:tr w14:paraId="3EC8E304">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1AE3E3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42</w:t>
            </w:r>
          </w:p>
        </w:tc>
        <w:tc>
          <w:tcPr>
            <w:tcW w:w="1949" w:type="dxa"/>
            <w:tcBorders>
              <w:top w:val="single" w:color="auto" w:sz="4" w:space="0"/>
              <w:left w:val="single" w:color="auto" w:sz="4" w:space="0"/>
              <w:bottom w:val="single" w:color="auto" w:sz="4" w:space="0"/>
              <w:right w:val="single" w:color="auto" w:sz="4" w:space="0"/>
            </w:tcBorders>
            <w:noWrap/>
            <w:vAlign w:val="center"/>
          </w:tcPr>
          <w:p w14:paraId="27DAA7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大弹簧</w:t>
            </w:r>
          </w:p>
        </w:tc>
        <w:tc>
          <w:tcPr>
            <w:tcW w:w="1062" w:type="dxa"/>
            <w:tcBorders>
              <w:top w:val="single" w:color="auto" w:sz="4" w:space="0"/>
              <w:left w:val="single" w:color="auto" w:sz="4" w:space="0"/>
              <w:bottom w:val="single" w:color="auto" w:sz="4" w:space="0"/>
              <w:right w:val="single" w:color="auto" w:sz="4" w:space="0"/>
            </w:tcBorders>
            <w:noWrap/>
            <w:vAlign w:val="center"/>
          </w:tcPr>
          <w:p w14:paraId="4CD95E02">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4F11027B">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1D2AB473">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5C1DB8CB">
            <w:pPr>
              <w:spacing w:line="400" w:lineRule="exact"/>
              <w:jc w:val="center"/>
              <w:rPr>
                <w:rFonts w:hint="eastAsia" w:ascii="华文楷体" w:hAnsi="华文楷体" w:eastAsia="华文楷体" w:cs="华文楷体"/>
                <w:sz w:val="20"/>
                <w:szCs w:val="20"/>
                <w:highlight w:val="none"/>
                <w:lang w:val="en-US" w:eastAsia="zh-CN"/>
              </w:rPr>
            </w:pPr>
          </w:p>
        </w:tc>
      </w:tr>
      <w:tr w14:paraId="66CA23B9">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0EE35B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43</w:t>
            </w:r>
          </w:p>
        </w:tc>
        <w:tc>
          <w:tcPr>
            <w:tcW w:w="1949" w:type="dxa"/>
            <w:tcBorders>
              <w:top w:val="single" w:color="auto" w:sz="4" w:space="0"/>
              <w:left w:val="single" w:color="auto" w:sz="4" w:space="0"/>
              <w:bottom w:val="single" w:color="auto" w:sz="4" w:space="0"/>
              <w:right w:val="single" w:color="auto" w:sz="4" w:space="0"/>
            </w:tcBorders>
            <w:noWrap/>
            <w:vAlign w:val="center"/>
          </w:tcPr>
          <w:p w14:paraId="12ACF9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压力盖</w:t>
            </w:r>
          </w:p>
        </w:tc>
        <w:tc>
          <w:tcPr>
            <w:tcW w:w="1062" w:type="dxa"/>
            <w:tcBorders>
              <w:top w:val="single" w:color="auto" w:sz="4" w:space="0"/>
              <w:left w:val="single" w:color="auto" w:sz="4" w:space="0"/>
              <w:bottom w:val="single" w:color="auto" w:sz="4" w:space="0"/>
              <w:right w:val="single" w:color="auto" w:sz="4" w:space="0"/>
            </w:tcBorders>
            <w:noWrap/>
            <w:vAlign w:val="center"/>
          </w:tcPr>
          <w:p w14:paraId="6EE45CC8">
            <w:pPr>
              <w:spacing w:line="400" w:lineRule="exact"/>
              <w:jc w:val="center"/>
              <w:rPr>
                <w:rFonts w:hint="eastAsia" w:ascii="华文楷体" w:hAnsi="华文楷体" w:eastAsia="华文楷体" w:cs="华文楷体"/>
                <w:sz w:val="20"/>
                <w:szCs w:val="20"/>
                <w:highlight w:val="none"/>
                <w:lang w:val="en-US" w:eastAsia="zh-CN"/>
              </w:rPr>
            </w:pPr>
          </w:p>
        </w:tc>
        <w:tc>
          <w:tcPr>
            <w:tcW w:w="2163" w:type="dxa"/>
            <w:tcBorders>
              <w:top w:val="single" w:color="auto" w:sz="4" w:space="0"/>
              <w:left w:val="single" w:color="auto" w:sz="4" w:space="0"/>
              <w:bottom w:val="single" w:color="auto" w:sz="4" w:space="0"/>
              <w:right w:val="single" w:color="auto" w:sz="4" w:space="0"/>
            </w:tcBorders>
            <w:noWrap/>
            <w:vAlign w:val="center"/>
          </w:tcPr>
          <w:p w14:paraId="078B7DBF">
            <w:pPr>
              <w:spacing w:line="400" w:lineRule="exact"/>
              <w:jc w:val="center"/>
              <w:rPr>
                <w:rFonts w:hint="eastAsia" w:ascii="华文楷体" w:hAnsi="华文楷体" w:eastAsia="华文楷体" w:cs="华文楷体"/>
                <w:sz w:val="20"/>
                <w:szCs w:val="20"/>
                <w:highlight w:val="none"/>
                <w:lang w:val="en-US" w:eastAsia="zh-CN"/>
              </w:rPr>
            </w:pPr>
          </w:p>
        </w:tc>
        <w:tc>
          <w:tcPr>
            <w:tcW w:w="1930" w:type="dxa"/>
            <w:tcBorders>
              <w:top w:val="single" w:color="auto" w:sz="4" w:space="0"/>
              <w:left w:val="single" w:color="auto" w:sz="4" w:space="0"/>
              <w:bottom w:val="single" w:color="auto" w:sz="4" w:space="0"/>
              <w:right w:val="single" w:color="auto" w:sz="4" w:space="0"/>
            </w:tcBorders>
            <w:noWrap/>
            <w:vAlign w:val="center"/>
          </w:tcPr>
          <w:p w14:paraId="2EB5E5D0">
            <w:pPr>
              <w:spacing w:line="400" w:lineRule="exact"/>
              <w:jc w:val="center"/>
              <w:rPr>
                <w:rFonts w:hint="eastAsia" w:ascii="华文楷体" w:hAnsi="华文楷体" w:eastAsia="华文楷体" w:cs="华文楷体"/>
                <w:sz w:val="20"/>
                <w:szCs w:val="20"/>
                <w:highlight w:val="none"/>
                <w:lang w:val="en-US" w:eastAsia="zh-CN"/>
              </w:rPr>
            </w:pPr>
          </w:p>
        </w:tc>
        <w:tc>
          <w:tcPr>
            <w:tcW w:w="1668" w:type="dxa"/>
            <w:tcBorders>
              <w:top w:val="single" w:color="auto" w:sz="4" w:space="0"/>
              <w:left w:val="single" w:color="auto" w:sz="4" w:space="0"/>
              <w:bottom w:val="single" w:color="auto" w:sz="4" w:space="0"/>
              <w:right w:val="single" w:color="auto" w:sz="4" w:space="0"/>
            </w:tcBorders>
            <w:noWrap/>
            <w:vAlign w:val="center"/>
          </w:tcPr>
          <w:p w14:paraId="486508EF">
            <w:pPr>
              <w:spacing w:line="400" w:lineRule="exact"/>
              <w:jc w:val="center"/>
              <w:rPr>
                <w:rFonts w:hint="eastAsia" w:ascii="华文楷体" w:hAnsi="华文楷体" w:eastAsia="华文楷体" w:cs="华文楷体"/>
                <w:sz w:val="20"/>
                <w:szCs w:val="20"/>
                <w:highlight w:val="none"/>
                <w:lang w:val="en-US" w:eastAsia="zh-CN"/>
              </w:rPr>
            </w:pPr>
          </w:p>
        </w:tc>
      </w:tr>
      <w:tr w14:paraId="0FB72401">
        <w:tblPrEx>
          <w:tblCellMar>
            <w:top w:w="0" w:type="dxa"/>
            <w:left w:w="108" w:type="dxa"/>
            <w:bottom w:w="0" w:type="dxa"/>
            <w:right w:w="108" w:type="dxa"/>
          </w:tblCellMar>
        </w:tblPrEx>
        <w:trPr>
          <w:trHeight w:val="422"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62D4F2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0"/>
                <w:szCs w:val="20"/>
                <w:highlight w:val="none"/>
                <w:lang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44</w:t>
            </w:r>
          </w:p>
        </w:tc>
        <w:tc>
          <w:tcPr>
            <w:tcW w:w="1949" w:type="dxa"/>
            <w:tcBorders>
              <w:top w:val="single" w:color="auto" w:sz="4" w:space="0"/>
              <w:left w:val="nil"/>
              <w:bottom w:val="single" w:color="auto" w:sz="4" w:space="0"/>
              <w:right w:val="single" w:color="auto" w:sz="4" w:space="0"/>
            </w:tcBorders>
            <w:noWrap/>
            <w:vAlign w:val="center"/>
          </w:tcPr>
          <w:p w14:paraId="47D3A6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default" w:ascii="华文楷体" w:hAnsi="华文楷体" w:eastAsia="华文楷体" w:cs="华文楷体"/>
                <w:sz w:val="20"/>
                <w:szCs w:val="20"/>
                <w:highlight w:val="none"/>
                <w:lang w:val="en-US" w:eastAsia="zh-CN"/>
              </w:rPr>
            </w:pPr>
            <w:r>
              <w:rPr>
                <w:rFonts w:hint="eastAsia" w:ascii="华文楷体" w:hAnsi="华文楷体" w:eastAsia="华文楷体" w:cs="华文楷体"/>
                <w:i w:val="0"/>
                <w:iCs w:val="0"/>
                <w:color w:val="000000"/>
                <w:kern w:val="0"/>
                <w:sz w:val="20"/>
                <w:szCs w:val="20"/>
                <w:highlight w:val="none"/>
                <w:u w:val="none"/>
                <w:lang w:val="en-US" w:eastAsia="zh-CN" w:bidi="ar"/>
              </w:rPr>
              <w:t>大轮轴销</w:t>
            </w:r>
          </w:p>
        </w:tc>
        <w:tc>
          <w:tcPr>
            <w:tcW w:w="1062" w:type="dxa"/>
            <w:tcBorders>
              <w:top w:val="single" w:color="auto" w:sz="4" w:space="0"/>
              <w:left w:val="nil"/>
              <w:bottom w:val="single" w:color="auto" w:sz="4" w:space="0"/>
              <w:right w:val="single" w:color="auto" w:sz="4" w:space="0"/>
            </w:tcBorders>
            <w:noWrap/>
            <w:vAlign w:val="center"/>
          </w:tcPr>
          <w:p w14:paraId="4C9C1F3D">
            <w:pPr>
              <w:spacing w:line="400" w:lineRule="exact"/>
              <w:jc w:val="center"/>
              <w:rPr>
                <w:rFonts w:hint="default" w:ascii="华文楷体" w:hAnsi="华文楷体" w:eastAsia="华文楷体" w:cs="华文楷体"/>
                <w:sz w:val="20"/>
                <w:szCs w:val="20"/>
                <w:highlight w:val="none"/>
                <w:lang w:val="en-US" w:eastAsia="zh-CN"/>
              </w:rPr>
            </w:pPr>
          </w:p>
        </w:tc>
        <w:tc>
          <w:tcPr>
            <w:tcW w:w="2163" w:type="dxa"/>
            <w:tcBorders>
              <w:top w:val="single" w:color="auto" w:sz="4" w:space="0"/>
              <w:left w:val="nil"/>
              <w:bottom w:val="single" w:color="auto" w:sz="4" w:space="0"/>
              <w:right w:val="single" w:color="auto" w:sz="4" w:space="0"/>
            </w:tcBorders>
            <w:noWrap/>
            <w:vAlign w:val="center"/>
          </w:tcPr>
          <w:p w14:paraId="5701DE09">
            <w:pPr>
              <w:spacing w:line="400" w:lineRule="exact"/>
              <w:jc w:val="center"/>
              <w:rPr>
                <w:rFonts w:hint="default" w:ascii="华文楷体" w:hAnsi="华文楷体" w:eastAsia="华文楷体" w:cs="华文楷体"/>
                <w:sz w:val="20"/>
                <w:szCs w:val="20"/>
                <w:highlight w:val="none"/>
                <w:lang w:val="en-US" w:eastAsia="zh-CN"/>
              </w:rPr>
            </w:pPr>
          </w:p>
        </w:tc>
        <w:tc>
          <w:tcPr>
            <w:tcW w:w="1930" w:type="dxa"/>
            <w:tcBorders>
              <w:top w:val="single" w:color="auto" w:sz="4" w:space="0"/>
              <w:left w:val="nil"/>
              <w:bottom w:val="single" w:color="auto" w:sz="4" w:space="0"/>
              <w:right w:val="single" w:color="auto" w:sz="4" w:space="0"/>
            </w:tcBorders>
            <w:noWrap/>
            <w:vAlign w:val="center"/>
          </w:tcPr>
          <w:p w14:paraId="27E6B3CE">
            <w:pPr>
              <w:spacing w:line="400" w:lineRule="exact"/>
              <w:jc w:val="center"/>
              <w:rPr>
                <w:rFonts w:hint="default" w:ascii="华文楷体" w:hAnsi="华文楷体" w:eastAsia="华文楷体" w:cs="华文楷体"/>
                <w:sz w:val="20"/>
                <w:szCs w:val="20"/>
                <w:highlight w:val="none"/>
                <w:lang w:val="en-US" w:eastAsia="zh-CN"/>
              </w:rPr>
            </w:pPr>
          </w:p>
        </w:tc>
        <w:tc>
          <w:tcPr>
            <w:tcW w:w="1668" w:type="dxa"/>
            <w:vMerge w:val="restart"/>
            <w:tcBorders>
              <w:top w:val="single" w:color="auto" w:sz="4" w:space="0"/>
              <w:left w:val="nil"/>
              <w:right w:val="single" w:color="auto" w:sz="4" w:space="0"/>
            </w:tcBorders>
            <w:noWrap/>
            <w:vAlign w:val="center"/>
          </w:tcPr>
          <w:p w14:paraId="7B1CF048">
            <w:pPr>
              <w:spacing w:line="400" w:lineRule="exact"/>
              <w:jc w:val="center"/>
              <w:rPr>
                <w:rFonts w:hint="default" w:ascii="华文楷体" w:hAnsi="华文楷体" w:eastAsia="华文楷体" w:cs="华文楷体"/>
                <w:sz w:val="20"/>
                <w:szCs w:val="20"/>
                <w:highlight w:val="none"/>
                <w:lang w:val="en-US" w:eastAsia="zh-CN"/>
              </w:rPr>
            </w:pPr>
          </w:p>
        </w:tc>
      </w:tr>
      <w:tr w14:paraId="54A471F5">
        <w:tblPrEx>
          <w:tblCellMar>
            <w:top w:w="0" w:type="dxa"/>
            <w:left w:w="108" w:type="dxa"/>
            <w:bottom w:w="0" w:type="dxa"/>
            <w:right w:w="108" w:type="dxa"/>
          </w:tblCellMar>
        </w:tblPrEx>
        <w:trPr>
          <w:trHeight w:val="398" w:hRule="atLeast"/>
          <w:jc w:val="center"/>
        </w:trPr>
        <w:tc>
          <w:tcPr>
            <w:tcW w:w="1012" w:type="dxa"/>
            <w:tcBorders>
              <w:top w:val="single" w:color="auto" w:sz="4" w:space="0"/>
              <w:left w:val="single" w:color="auto" w:sz="4" w:space="0"/>
              <w:bottom w:val="single" w:color="auto" w:sz="4" w:space="0"/>
              <w:right w:val="single" w:color="auto" w:sz="4" w:space="0"/>
            </w:tcBorders>
            <w:noWrap/>
            <w:vAlign w:val="center"/>
          </w:tcPr>
          <w:p w14:paraId="292A0F69">
            <w:pPr>
              <w:spacing w:line="400" w:lineRule="exact"/>
              <w:jc w:val="center"/>
              <w:rPr>
                <w:rFonts w:ascii="华文楷体" w:hAnsi="华文楷体" w:eastAsia="华文楷体" w:cs="华文楷体"/>
                <w:sz w:val="20"/>
                <w:szCs w:val="20"/>
                <w:highlight w:val="none"/>
              </w:rPr>
            </w:pPr>
            <w:r>
              <w:rPr>
                <w:rFonts w:hint="eastAsia" w:ascii="华文楷体" w:hAnsi="华文楷体" w:eastAsia="华文楷体" w:cs="华文楷体"/>
                <w:sz w:val="20"/>
                <w:szCs w:val="20"/>
                <w:highlight w:val="none"/>
              </w:rPr>
              <w:t>备注</w:t>
            </w:r>
          </w:p>
        </w:tc>
        <w:tc>
          <w:tcPr>
            <w:tcW w:w="8772" w:type="dxa"/>
            <w:gridSpan w:val="5"/>
            <w:tcBorders>
              <w:top w:val="single" w:color="auto" w:sz="4" w:space="0"/>
              <w:left w:val="nil"/>
              <w:bottom w:val="single" w:color="auto" w:sz="4" w:space="0"/>
              <w:right w:val="single" w:color="auto" w:sz="4" w:space="0"/>
            </w:tcBorders>
            <w:noWrap/>
            <w:vAlign w:val="center"/>
          </w:tcPr>
          <w:p w14:paraId="554183E3">
            <w:pPr>
              <w:spacing w:line="400" w:lineRule="exact"/>
              <w:rPr>
                <w:rFonts w:hint="eastAsia"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以上价格包含配件费、维修</w:t>
            </w:r>
            <w:r>
              <w:rPr>
                <w:rFonts w:hint="eastAsia" w:ascii="华文楷体" w:hAnsi="华文楷体" w:eastAsia="华文楷体" w:cs="华文楷体"/>
                <w:sz w:val="20"/>
                <w:szCs w:val="20"/>
                <w:highlight w:val="none"/>
                <w:lang w:val="en-US" w:eastAsia="zh-CN"/>
              </w:rPr>
              <w:t>人工</w:t>
            </w:r>
            <w:r>
              <w:rPr>
                <w:rFonts w:hint="eastAsia" w:ascii="华文楷体" w:hAnsi="华文楷体" w:eastAsia="华文楷体" w:cs="华文楷体"/>
                <w:sz w:val="20"/>
                <w:szCs w:val="20"/>
                <w:highlight w:val="none"/>
                <w:lang w:eastAsia="zh-CN"/>
              </w:rPr>
              <w:t>费等相关费用。</w:t>
            </w:r>
          </w:p>
        </w:tc>
      </w:tr>
    </w:tbl>
    <w:p w14:paraId="51D1B655">
      <w:pPr>
        <w:pStyle w:val="2"/>
        <w:numPr>
          <w:ilvl w:val="0"/>
          <w:numId w:val="1"/>
        </w:numPr>
        <w:rPr>
          <w:b/>
          <w:bCs/>
          <w:highlight w:val="none"/>
        </w:rPr>
      </w:pPr>
      <w:r>
        <w:rPr>
          <w:b/>
          <w:bCs/>
          <w:highlight w:val="none"/>
        </w:rPr>
        <w:t>知识产权及保密约定</w:t>
      </w:r>
    </w:p>
    <w:p w14:paraId="37A71C48">
      <w:pPr>
        <w:pStyle w:val="2"/>
        <w:numPr>
          <w:ilvl w:val="1"/>
          <w:numId w:val="1"/>
        </w:numPr>
        <w:spacing w:before="104" w:line="301" w:lineRule="auto"/>
        <w:rPr>
          <w:highlight w:val="none"/>
          <w:lang w:eastAsia="zh-CN"/>
        </w:rPr>
      </w:pPr>
      <w:r>
        <w:rPr>
          <w:spacing w:val="6"/>
          <w:highlight w:val="none"/>
          <w:lang w:eastAsia="zh-CN"/>
        </w:rPr>
        <w:t>若合同约定交付的产品内含有</w:t>
      </w:r>
      <w:r>
        <w:rPr>
          <w:spacing w:val="5"/>
          <w:highlight w:val="none"/>
          <w:lang w:eastAsia="zh-CN"/>
        </w:rPr>
        <w:t>甲方标志的（包括不限于公司名称、商标、</w:t>
      </w:r>
      <w:r>
        <w:rPr>
          <w:highlight w:val="none"/>
          <w:lang w:eastAsia="zh-CN"/>
        </w:rPr>
        <w:t>LOGO</w:t>
      </w:r>
      <w:r>
        <w:rPr>
          <w:spacing w:val="5"/>
          <w:highlight w:val="none"/>
          <w:lang w:eastAsia="zh-CN"/>
        </w:rPr>
        <w:t>、</w:t>
      </w:r>
      <w:r>
        <w:rPr>
          <w:highlight w:val="none"/>
          <w:lang w:eastAsia="zh-CN"/>
        </w:rPr>
        <w:t>VI</w:t>
      </w:r>
      <w:r>
        <w:rPr>
          <w:spacing w:val="5"/>
          <w:highlight w:val="none"/>
          <w:lang w:eastAsia="zh-CN"/>
        </w:rPr>
        <w:t>等标识</w:t>
      </w:r>
      <w:r>
        <w:rPr>
          <w:spacing w:val="7"/>
          <w:highlight w:val="none"/>
          <w:lang w:eastAsia="zh-CN"/>
        </w:rPr>
        <w:t>），</w:t>
      </w:r>
      <w:r>
        <w:rPr>
          <w:spacing w:val="5"/>
          <w:highlight w:val="none"/>
          <w:lang w:eastAsia="zh-CN"/>
        </w:rPr>
        <w:t>乙方</w:t>
      </w:r>
      <w:r>
        <w:rPr>
          <w:spacing w:val="7"/>
          <w:highlight w:val="none"/>
          <w:lang w:eastAsia="zh-CN"/>
        </w:rPr>
        <w:t>需按照甲方提供商标样式印制，不得任意改变甲方注册商标的文字、图形或者组合</w:t>
      </w:r>
      <w:r>
        <w:rPr>
          <w:spacing w:val="6"/>
          <w:highlight w:val="none"/>
          <w:lang w:eastAsia="zh-CN"/>
        </w:rPr>
        <w:t>，并不得在履行本</w:t>
      </w:r>
      <w:r>
        <w:rPr>
          <w:spacing w:val="7"/>
          <w:highlight w:val="none"/>
          <w:lang w:eastAsia="zh-CN"/>
        </w:rPr>
        <w:t>合同义务范围外使用甲方标志</w:t>
      </w:r>
      <w:r>
        <w:rPr>
          <w:rFonts w:hint="eastAsia"/>
          <w:spacing w:val="8"/>
          <w:highlight w:val="none"/>
          <w:lang w:eastAsia="zh-CN"/>
        </w:rPr>
        <w:t>，</w:t>
      </w:r>
      <w:r>
        <w:rPr>
          <w:rFonts w:hint="eastAsia" w:ascii="华文楷体" w:hAnsi="华文楷体" w:eastAsia="华文楷体"/>
          <w:b/>
          <w:bCs/>
          <w:color w:val="auto"/>
          <w:szCs w:val="21"/>
          <w:highlight w:val="none"/>
        </w:rPr>
        <w:t>若甲方发现乙方存在前述违约行为，乙方应按以下方式承担责任：（1）立即按照甲方要求采取补救措施，消除不利影响；（2）向甲方支付违约金人民币 3,000 元（人民币叁仟元整）；（3）若乙方因违约行为获得不当利益应向甲方全额返还该不当得利；若违约行为造成甲方实际损失的乙方还应向甲方赔偿全部损失（包括直接及间接损失）</w:t>
      </w:r>
      <w:r>
        <w:rPr>
          <w:spacing w:val="7"/>
          <w:highlight w:val="none"/>
          <w:lang w:eastAsia="zh-CN"/>
        </w:rPr>
        <w:t>。</w:t>
      </w:r>
    </w:p>
    <w:p w14:paraId="02FA7355">
      <w:pPr>
        <w:pStyle w:val="2"/>
        <w:numPr>
          <w:ilvl w:val="1"/>
          <w:numId w:val="1"/>
        </w:numPr>
        <w:spacing w:before="151" w:line="288" w:lineRule="auto"/>
        <w:ind w:right="2"/>
        <w:rPr>
          <w:highlight w:val="none"/>
          <w:lang w:eastAsia="zh-CN"/>
        </w:rPr>
      </w:pPr>
      <w:r>
        <w:rPr>
          <w:spacing w:val="8"/>
          <w:highlight w:val="none"/>
          <w:lang w:eastAsia="zh-CN"/>
        </w:rPr>
        <w:t>未经甲方书面同意，乙方不得违</w:t>
      </w:r>
      <w:r>
        <w:rPr>
          <w:spacing w:val="7"/>
          <w:highlight w:val="none"/>
          <w:lang w:eastAsia="zh-CN"/>
        </w:rPr>
        <w:t>反约定超额生产带有甲方标志的产品，如在采购交易过程中有库存产</w:t>
      </w:r>
      <w:r>
        <w:rPr>
          <w:spacing w:val="2"/>
          <w:highlight w:val="none"/>
          <w:lang w:eastAsia="zh-CN"/>
        </w:rPr>
        <w:t>品、退换货、不良品、尾货的，应按照甲方的要求妥善处理（如去除商标、</w:t>
      </w:r>
      <w:r>
        <w:rPr>
          <w:highlight w:val="none"/>
          <w:lang w:eastAsia="zh-CN"/>
        </w:rPr>
        <w:t>LOGO</w:t>
      </w:r>
      <w:r>
        <w:rPr>
          <w:spacing w:val="2"/>
          <w:highlight w:val="none"/>
          <w:lang w:eastAsia="zh-CN"/>
        </w:rPr>
        <w:t>等标志</w:t>
      </w:r>
      <w:r>
        <w:rPr>
          <w:spacing w:val="13"/>
          <w:highlight w:val="none"/>
          <w:lang w:eastAsia="zh-CN"/>
        </w:rPr>
        <w:t>），</w:t>
      </w:r>
      <w:r>
        <w:rPr>
          <w:spacing w:val="2"/>
          <w:highlight w:val="none"/>
          <w:lang w:eastAsia="zh-CN"/>
        </w:rPr>
        <w:t>不得发</w:t>
      </w:r>
      <w:r>
        <w:rPr>
          <w:spacing w:val="8"/>
          <w:highlight w:val="none"/>
          <w:lang w:eastAsia="zh-CN"/>
        </w:rPr>
        <w:t>生产品外流或针对这类产品设置抵押等担保。</w:t>
      </w:r>
    </w:p>
    <w:p w14:paraId="03663EBF">
      <w:pPr>
        <w:pStyle w:val="2"/>
        <w:numPr>
          <w:ilvl w:val="1"/>
          <w:numId w:val="1"/>
        </w:numPr>
        <w:spacing w:before="149" w:line="305" w:lineRule="auto"/>
        <w:ind w:right="2"/>
        <w:rPr>
          <w:highlight w:val="none"/>
          <w:lang w:eastAsia="zh-CN"/>
        </w:rPr>
      </w:pPr>
      <w:r>
        <w:rPr>
          <w:spacing w:val="9"/>
          <w:highlight w:val="none"/>
          <w:lang w:eastAsia="zh-CN"/>
        </w:rPr>
        <w:t>乙方保证提供的产品或服务不侵犯任何第三方的知识产权或甲</w:t>
      </w:r>
      <w:r>
        <w:rPr>
          <w:spacing w:val="8"/>
          <w:highlight w:val="none"/>
          <w:lang w:eastAsia="zh-CN"/>
        </w:rPr>
        <w:t>方的其他权益，否则应承担侵权责任并</w:t>
      </w:r>
      <w:r>
        <w:rPr>
          <w:spacing w:val="5"/>
          <w:highlight w:val="none"/>
          <w:lang w:eastAsia="zh-CN"/>
        </w:rPr>
        <w:t>赔偿甲方经济损失。同时，乙方应自行支付费用并承担以下责任</w:t>
      </w:r>
      <w:r>
        <w:rPr>
          <w:spacing w:val="12"/>
          <w:highlight w:val="none"/>
          <w:lang w:eastAsia="zh-CN"/>
        </w:rPr>
        <w:t>：（</w:t>
      </w:r>
      <w:r>
        <w:rPr>
          <w:spacing w:val="5"/>
          <w:highlight w:val="none"/>
          <w:lang w:eastAsia="zh-CN"/>
        </w:rPr>
        <w:t>1）使甲方得到继续使用该产品和</w:t>
      </w:r>
      <w:r>
        <w:rPr>
          <w:spacing w:val="9"/>
          <w:highlight w:val="none"/>
          <w:lang w:eastAsia="zh-CN"/>
        </w:rPr>
        <w:t>服务的权利，或修改产品和服务使其不侵权并符合合同约定，或用不侵权且符合合同约定</w:t>
      </w:r>
      <w:r>
        <w:rPr>
          <w:spacing w:val="8"/>
          <w:highlight w:val="none"/>
          <w:lang w:eastAsia="zh-CN"/>
        </w:rPr>
        <w:t>的产品和服</w:t>
      </w:r>
      <w:r>
        <w:rPr>
          <w:spacing w:val="7"/>
          <w:highlight w:val="none"/>
          <w:lang w:eastAsia="zh-CN"/>
        </w:rPr>
        <w:t>务替换该产品或服务</w:t>
      </w:r>
      <w:r>
        <w:rPr>
          <w:spacing w:val="1"/>
          <w:highlight w:val="none"/>
          <w:lang w:eastAsia="zh-CN"/>
        </w:rPr>
        <w:t>；（</w:t>
      </w:r>
      <w:r>
        <w:rPr>
          <w:spacing w:val="7"/>
          <w:highlight w:val="none"/>
          <w:lang w:eastAsia="zh-CN"/>
        </w:rPr>
        <w:t>2）如果甲方要求退货或终止服务，乙方应同意该要求并退还甲方已支付的货</w:t>
      </w:r>
      <w:r>
        <w:rPr>
          <w:spacing w:val="6"/>
          <w:highlight w:val="none"/>
          <w:lang w:eastAsia="zh-CN"/>
        </w:rPr>
        <w:t>款或服务费。</w:t>
      </w:r>
    </w:p>
    <w:p w14:paraId="3846C82A">
      <w:pPr>
        <w:pStyle w:val="2"/>
        <w:numPr>
          <w:ilvl w:val="1"/>
          <w:numId w:val="1"/>
        </w:numPr>
        <w:spacing w:before="152" w:line="288" w:lineRule="auto"/>
        <w:ind w:right="2"/>
        <w:rPr>
          <w:highlight w:val="none"/>
          <w:lang w:eastAsia="zh-CN"/>
        </w:rPr>
      </w:pPr>
      <w:r>
        <w:rPr>
          <w:spacing w:val="8"/>
          <w:highlight w:val="none"/>
          <w:lang w:eastAsia="zh-CN"/>
        </w:rPr>
        <w:t>双方均须严格保守在履行本合同过程中获知的对方的商业秘密，不得超出本合同目的使用</w:t>
      </w:r>
      <w:r>
        <w:rPr>
          <w:spacing w:val="7"/>
          <w:highlight w:val="none"/>
          <w:lang w:eastAsia="zh-CN"/>
        </w:rPr>
        <w:t>商业秘密，并不得向第三方披露。乙方如违约披露了甲方的保密信息，除立即</w:t>
      </w:r>
      <w:r>
        <w:rPr>
          <w:spacing w:val="6"/>
          <w:highlight w:val="none"/>
          <w:lang w:eastAsia="zh-CN"/>
        </w:rPr>
        <w:t>停止侵害消除影响外，还需向甲方支付最低不少于30万元的违约金，如甲方仍有损失的，还应赔偿甲方经济损失。</w:t>
      </w:r>
    </w:p>
    <w:p w14:paraId="65B140F7">
      <w:pPr>
        <w:pStyle w:val="2"/>
        <w:numPr>
          <w:ilvl w:val="1"/>
          <w:numId w:val="1"/>
        </w:numPr>
        <w:spacing w:before="152" w:line="288" w:lineRule="auto"/>
        <w:ind w:right="3"/>
        <w:rPr>
          <w:highlight w:val="none"/>
          <w:lang w:eastAsia="zh-CN"/>
        </w:rPr>
      </w:pPr>
      <w:r>
        <w:rPr>
          <w:spacing w:val="8"/>
          <w:highlight w:val="none"/>
          <w:lang w:eastAsia="zh-CN"/>
        </w:rPr>
        <w:t>本条款约定的保密义务自一方接触或知悉对方的保密信息时开</w:t>
      </w:r>
      <w:r>
        <w:rPr>
          <w:spacing w:val="7"/>
          <w:highlight w:val="none"/>
          <w:lang w:eastAsia="zh-CN"/>
        </w:rPr>
        <w:t>始，至保密信息经合法渠道向公众公开时止，合法渠道指且仅限于一方自行公开或事先得到一方的书面许可或者有权监管机构要求或根据法律法规披露的情形。本合同终止或解除后，不影响本保密条款项下保密权利义务的履行。</w:t>
      </w:r>
    </w:p>
    <w:p w14:paraId="613C7D61">
      <w:pPr>
        <w:pStyle w:val="2"/>
        <w:numPr>
          <w:ilvl w:val="0"/>
          <w:numId w:val="1"/>
        </w:numPr>
        <w:rPr>
          <w:b/>
          <w:bCs/>
          <w:highlight w:val="none"/>
        </w:rPr>
      </w:pPr>
      <w:r>
        <w:rPr>
          <w:b/>
          <w:bCs/>
          <w:highlight w:val="none"/>
        </w:rPr>
        <w:t>违约与赔偿</w:t>
      </w:r>
    </w:p>
    <w:p w14:paraId="4EF1B771">
      <w:pPr>
        <w:pStyle w:val="2"/>
        <w:numPr>
          <w:ilvl w:val="1"/>
          <w:numId w:val="1"/>
        </w:numPr>
        <w:spacing w:before="152" w:line="288" w:lineRule="auto"/>
        <w:ind w:right="3"/>
        <w:rPr>
          <w:rFonts w:hint="eastAsia"/>
          <w:b/>
          <w:bCs/>
          <w:spacing w:val="8"/>
          <w:highlight w:val="none"/>
          <w:lang w:eastAsia="zh-CN"/>
        </w:rPr>
      </w:pPr>
      <w:r>
        <w:rPr>
          <w:rFonts w:hint="eastAsia" w:ascii="华文楷体" w:hAnsi="华文楷体" w:eastAsia="华文楷体"/>
          <w:b/>
          <w:bCs/>
          <w:szCs w:val="21"/>
          <w:highlight w:val="none"/>
        </w:rPr>
        <w:t>拒绝履约</w:t>
      </w:r>
      <w:r>
        <w:rPr>
          <w:rFonts w:hint="eastAsia" w:ascii="华文楷体" w:hAnsi="华文楷体" w:eastAsia="华文楷体"/>
          <w:b/>
          <w:bCs/>
          <w:szCs w:val="21"/>
          <w:highlight w:val="none"/>
          <w:lang w:eastAsia="zh-CN"/>
        </w:rPr>
        <w:t>：</w:t>
      </w:r>
      <w:r>
        <w:rPr>
          <w:rFonts w:hint="eastAsia" w:ascii="华文楷体" w:hAnsi="华文楷体" w:eastAsia="华文楷体"/>
          <w:b w:val="0"/>
          <w:bCs w:val="0"/>
          <w:szCs w:val="21"/>
          <w:highlight w:val="none"/>
        </w:rPr>
        <w:t>乙方拒绝履约的，甲方有权采取以下相应措施:</w:t>
      </w:r>
      <w:r>
        <w:rPr>
          <w:rFonts w:hint="eastAsia" w:ascii="华文楷体" w:hAnsi="华文楷体" w:eastAsia="华文楷体"/>
          <w:b/>
          <w:bCs/>
          <w:szCs w:val="21"/>
          <w:highlight w:val="none"/>
        </w:rPr>
        <w:t>(1)没收乙方此前按照双方约定所缴纳的保证金;(2)乙方并需按照此订单 总金额的 20%向甲方支付违约金;(3)若甲方因乙方拒绝订单，进而将订单转向第三方采购的，乙方应 当对因此造成的甲方直接或间接损失承担相应的赔偿责任(包括但不限于甲方为履行该订单已投入的物料采购成本、人力成本、甲方因重新向第三方采购而产生的额外费用、预期利润损失等)</w:t>
      </w:r>
      <w:r>
        <w:rPr>
          <w:rFonts w:hint="eastAsia"/>
          <w:b/>
          <w:bCs/>
          <w:szCs w:val="21"/>
          <w:highlight w:val="none"/>
          <w:lang w:eastAsia="zh-CN"/>
        </w:rPr>
        <w:t>。</w:t>
      </w:r>
    </w:p>
    <w:p w14:paraId="1BD5723F">
      <w:pPr>
        <w:pStyle w:val="2"/>
        <w:numPr>
          <w:ilvl w:val="1"/>
          <w:numId w:val="1"/>
        </w:numPr>
        <w:spacing w:before="152" w:line="288" w:lineRule="auto"/>
        <w:ind w:right="3"/>
        <w:rPr>
          <w:rFonts w:hint="eastAsia"/>
          <w:b/>
          <w:bCs/>
          <w:spacing w:val="8"/>
          <w:highlight w:val="none"/>
          <w:lang w:eastAsia="zh-CN"/>
        </w:rPr>
      </w:pPr>
      <w:r>
        <w:rPr>
          <w:rFonts w:hint="eastAsia"/>
          <w:b/>
          <w:bCs/>
          <w:spacing w:val="8"/>
          <w:highlight w:val="none"/>
          <w:lang w:eastAsia="zh-CN"/>
        </w:rPr>
        <w:t>逾期交货：乙方逾期交付产品的，逾期七天内（包括七天）按逾期交付部分对应货款的1%支付违约金；逾期超过七天的，按逾期交付部分对应货款的5%支付违约金。逾期超过15天，按逾期交付部分对应货款的15%支付违约金。</w:t>
      </w:r>
    </w:p>
    <w:p w14:paraId="0411559E">
      <w:pPr>
        <w:pStyle w:val="2"/>
        <w:numPr>
          <w:ilvl w:val="1"/>
          <w:numId w:val="1"/>
        </w:numPr>
        <w:spacing w:before="152" w:line="288" w:lineRule="auto"/>
        <w:ind w:right="3"/>
        <w:rPr>
          <w:b/>
          <w:bCs/>
          <w:spacing w:val="8"/>
          <w:highlight w:val="none"/>
          <w:lang w:eastAsia="zh-CN"/>
        </w:rPr>
      </w:pPr>
      <w:r>
        <w:rPr>
          <w:rFonts w:hint="eastAsia"/>
          <w:b/>
          <w:bCs/>
          <w:spacing w:val="8"/>
          <w:highlight w:val="none"/>
          <w:lang w:eastAsia="zh-CN"/>
        </w:rPr>
        <w:t>不能交货：乙方确认并接受订单后，逾期交货超过二十天的，甲方有权取消订单或解除本合同。同时，乙方应按不能交货部分对应货款的20％向甲方支付违约金。如甲方同意接受货物，乙方应按不能交货部分对应货款的20％向甲方支付违约金</w:t>
      </w:r>
      <w:r>
        <w:rPr>
          <w:b/>
          <w:bCs/>
          <w:spacing w:val="8"/>
          <w:highlight w:val="none"/>
          <w:lang w:eastAsia="zh-CN"/>
        </w:rPr>
        <w:t>。</w:t>
      </w:r>
    </w:p>
    <w:p w14:paraId="2388A0F1">
      <w:pPr>
        <w:pStyle w:val="2"/>
        <w:numPr>
          <w:ilvl w:val="1"/>
          <w:numId w:val="1"/>
        </w:numPr>
        <w:spacing w:before="152" w:line="288" w:lineRule="auto"/>
        <w:ind w:right="3"/>
        <w:rPr>
          <w:b/>
          <w:bCs/>
          <w:spacing w:val="8"/>
          <w:highlight w:val="none"/>
          <w:lang w:eastAsia="zh-CN"/>
        </w:rPr>
      </w:pPr>
      <w:r>
        <w:rPr>
          <w:spacing w:val="8"/>
          <w:highlight w:val="none"/>
          <w:lang w:eastAsia="zh-CN"/>
        </w:rPr>
        <w:t>如乙方产品的制造商、原产地、构造、规格、材质、制造工艺与流程（含外形、尺寸、功能、性能参数、</w:t>
      </w:r>
      <w:r>
        <w:rPr>
          <w:rFonts w:hint="eastAsia"/>
          <w:spacing w:val="8"/>
          <w:highlight w:val="none"/>
          <w:lang w:eastAsia="zh-CN"/>
        </w:rPr>
        <w:t>测试认证标准、工艺、主要生产设备等</w:t>
      </w:r>
      <w:r>
        <w:rPr>
          <w:spacing w:val="8"/>
          <w:highlight w:val="none"/>
          <w:lang w:eastAsia="zh-CN"/>
        </w:rPr>
        <w:t>）有任何变更时，乙方应至少提前1个月书面通知甲方，并附相关变更文件及产品样机、样品（如有），如</w:t>
      </w:r>
      <w:r>
        <w:rPr>
          <w:rFonts w:hint="eastAsia"/>
          <w:spacing w:val="8"/>
          <w:highlight w:val="none"/>
          <w:lang w:val="en-US" w:eastAsia="zh-CN"/>
        </w:rPr>
        <w:t>经</w:t>
      </w:r>
      <w:r>
        <w:rPr>
          <w:spacing w:val="8"/>
          <w:highlight w:val="none"/>
          <w:lang w:eastAsia="zh-CN"/>
        </w:rPr>
        <w:t>甲方书面确认且对甲方无不利影响的，双方另行协商确认单价，其余条款按本合同执行。</w:t>
      </w:r>
      <w:r>
        <w:rPr>
          <w:b/>
          <w:bCs/>
          <w:spacing w:val="8"/>
          <w:highlight w:val="none"/>
          <w:lang w:eastAsia="zh-CN"/>
        </w:rPr>
        <w:t>乙方怠于通知的，甲方有权选择下列任一或组合方式处理：1）取消订单；2）追究乙方违约责任、赔偿责任；3）自乙方怠于通知之日往前计算一年，所有订单总金额按照9折重新结算。</w:t>
      </w:r>
    </w:p>
    <w:p w14:paraId="389D2422">
      <w:pPr>
        <w:pStyle w:val="2"/>
        <w:numPr>
          <w:ilvl w:val="1"/>
          <w:numId w:val="1"/>
        </w:numPr>
        <w:spacing w:before="152" w:line="288" w:lineRule="auto"/>
        <w:ind w:right="3"/>
        <w:rPr>
          <w:b/>
          <w:bCs/>
          <w:spacing w:val="8"/>
          <w:highlight w:val="none"/>
          <w:lang w:eastAsia="zh-CN"/>
        </w:rPr>
      </w:pPr>
      <w:r>
        <w:rPr>
          <w:b/>
          <w:bCs/>
          <w:spacing w:val="8"/>
          <w:highlight w:val="none"/>
          <w:lang w:eastAsia="zh-CN"/>
        </w:rPr>
        <w:t>如乙方违反本合同</w:t>
      </w:r>
      <w:r>
        <w:rPr>
          <w:rFonts w:hint="eastAsia"/>
          <w:b/>
          <w:bCs/>
          <w:spacing w:val="4"/>
          <w:highlight w:val="none"/>
        </w:rPr>
        <w:t>2.5.2条</w:t>
      </w:r>
      <w:r>
        <w:rPr>
          <w:b/>
          <w:bCs/>
          <w:spacing w:val="8"/>
          <w:highlight w:val="none"/>
          <w:lang w:eastAsia="zh-CN"/>
        </w:rPr>
        <w:t>约定的，应当无条件退还甲方前期交易所支付的超出“最优价格”的金额，并向甲方支付该期间总交易金额5%</w:t>
      </w:r>
      <w:r>
        <w:rPr>
          <w:rFonts w:hint="eastAsia"/>
          <w:b/>
          <w:bCs/>
          <w:spacing w:val="8"/>
          <w:highlight w:val="none"/>
          <w:lang w:val="en-US" w:eastAsia="zh-CN"/>
        </w:rPr>
        <w:t>作为</w:t>
      </w:r>
      <w:r>
        <w:rPr>
          <w:b/>
          <w:bCs/>
          <w:spacing w:val="8"/>
          <w:highlight w:val="none"/>
          <w:lang w:eastAsia="zh-CN"/>
        </w:rPr>
        <w:t>违约金。</w:t>
      </w:r>
      <w:r>
        <w:rPr>
          <w:rFonts w:hint="eastAsia"/>
          <w:b/>
          <w:bCs/>
          <w:spacing w:val="8"/>
          <w:highlight w:val="none"/>
          <w:lang w:eastAsia="zh-CN"/>
        </w:rPr>
        <w:t>后续订单按照现有最优价格进行结算。</w:t>
      </w:r>
    </w:p>
    <w:p w14:paraId="7F0BD41C">
      <w:pPr>
        <w:pStyle w:val="2"/>
        <w:numPr>
          <w:ilvl w:val="1"/>
          <w:numId w:val="1"/>
        </w:numPr>
        <w:spacing w:before="152" w:line="288" w:lineRule="auto"/>
        <w:ind w:right="3"/>
        <w:rPr>
          <w:spacing w:val="8"/>
          <w:highlight w:val="none"/>
          <w:lang w:eastAsia="zh-CN"/>
        </w:rPr>
      </w:pPr>
      <w:r>
        <w:rPr>
          <w:spacing w:val="8"/>
          <w:highlight w:val="none"/>
          <w:lang w:eastAsia="zh-CN"/>
        </w:rPr>
        <w:t>如果乙方违反本合同中质保或售后服务条款任何一项约定</w:t>
      </w:r>
      <w:r>
        <w:rPr>
          <w:rFonts w:hint="eastAsia"/>
          <w:spacing w:val="8"/>
          <w:highlight w:val="none"/>
          <w:lang w:val="en-US" w:eastAsia="zh-CN"/>
        </w:rPr>
        <w:t>时</w:t>
      </w:r>
      <w:r>
        <w:rPr>
          <w:spacing w:val="8"/>
          <w:highlight w:val="none"/>
          <w:lang w:eastAsia="zh-CN"/>
        </w:rPr>
        <w:t>，甲方有权要求乙方支付违约金，违约金标准为涉及售后服务产品自报修或送修之日起追溯至一年之内该型产品总采购金额的千分之五，如给甲方造成实际经济损失，违约金不足以弥补甲方损失的，乙方应另行支付损失差额。</w:t>
      </w:r>
    </w:p>
    <w:p w14:paraId="011A913F">
      <w:pPr>
        <w:pStyle w:val="2"/>
        <w:numPr>
          <w:ilvl w:val="1"/>
          <w:numId w:val="1"/>
        </w:numPr>
        <w:spacing w:before="152" w:line="288" w:lineRule="auto"/>
        <w:ind w:right="3"/>
        <w:rPr>
          <w:spacing w:val="8"/>
          <w:highlight w:val="none"/>
          <w:lang w:eastAsia="zh-CN"/>
        </w:rPr>
      </w:pPr>
      <w:r>
        <w:rPr>
          <w:rFonts w:hint="eastAsia"/>
          <w:spacing w:val="8"/>
          <w:highlight w:val="none"/>
          <w:lang w:val="en-US" w:eastAsia="zh-CN"/>
        </w:rPr>
        <w:t>乙方供应给甲方的产品生产地址为：</w:t>
      </w:r>
      <w:r>
        <w:rPr>
          <w:rFonts w:hint="eastAsia"/>
          <w:spacing w:val="8"/>
          <w:highlight w:val="yellow"/>
          <w:lang w:val="en-US" w:eastAsia="zh-CN"/>
        </w:rPr>
        <w:t xml:space="preserve">                                                  </w:t>
      </w:r>
      <w:r>
        <w:rPr>
          <w:rFonts w:hint="eastAsia"/>
          <w:spacing w:val="8"/>
          <w:highlight w:val="none"/>
          <w:lang w:val="en-US" w:eastAsia="zh-CN"/>
        </w:rPr>
        <w:t>。乙方需保证供应给甲方的产品均在此地址生产加工（甲方在生产期间将驻场跟进生产），乙方在未经甲方同意擅自将生产、供应转包或分包给第三方处理的（乙方未在约定地址生产加工的，视为乙方擅自转包处理），甲方有权选择要求乙方承担下列部分或全部违约责任：1）取消订单；2）要求乙方支付相关订单金额20%的违约金；3）拒绝收货、检验或要求作退、换货处理，并分别按乙方交货不能或产品质量问题为由追究乙方违约责任；4）甲方同意收货、验收的，可与乙方协商按折扣价处理；5）解除合同、终止合作</w:t>
      </w:r>
      <w:r>
        <w:rPr>
          <w:spacing w:val="8"/>
          <w:highlight w:val="none"/>
          <w:lang w:eastAsia="zh-CN"/>
        </w:rPr>
        <w:t>。</w:t>
      </w:r>
    </w:p>
    <w:p w14:paraId="390204E6">
      <w:pPr>
        <w:pStyle w:val="2"/>
        <w:numPr>
          <w:ilvl w:val="1"/>
          <w:numId w:val="1"/>
        </w:numPr>
        <w:spacing w:before="152" w:line="288" w:lineRule="auto"/>
        <w:ind w:right="3"/>
        <w:rPr>
          <w:spacing w:val="8"/>
          <w:highlight w:val="none"/>
          <w:lang w:eastAsia="zh-CN"/>
        </w:rPr>
      </w:pPr>
      <w:r>
        <w:rPr>
          <w:spacing w:val="8"/>
          <w:highlight w:val="none"/>
          <w:lang w:eastAsia="zh-CN"/>
        </w:rPr>
        <w:t>因乙方提供的产品质量不合格导致甲方不得不向第三方采购、租用合格替代品、委托第三方进行维修的，甲方的实际损失按下列标准计算：1）弥补甲方的采购差价或向第三方支付的租金、维修费用；2）补偿甲方经济损失。</w:t>
      </w:r>
    </w:p>
    <w:p w14:paraId="3CDF7F9D">
      <w:pPr>
        <w:pStyle w:val="2"/>
        <w:numPr>
          <w:ilvl w:val="1"/>
          <w:numId w:val="1"/>
        </w:numPr>
        <w:spacing w:before="152" w:line="288" w:lineRule="auto"/>
        <w:ind w:right="3"/>
        <w:rPr>
          <w:b/>
          <w:bCs/>
          <w:spacing w:val="8"/>
          <w:highlight w:val="none"/>
          <w:lang w:eastAsia="zh-CN"/>
        </w:rPr>
      </w:pPr>
      <w:r>
        <w:rPr>
          <w:spacing w:val="8"/>
          <w:highlight w:val="none"/>
          <w:lang w:eastAsia="zh-CN"/>
        </w:rPr>
        <w:t>乙方按本合同规定应该赔付的违约金、赔偿金和各种经济损失，</w:t>
      </w:r>
      <w:r>
        <w:rPr>
          <w:rFonts w:hint="eastAsia"/>
          <w:spacing w:val="8"/>
          <w:highlight w:val="none"/>
          <w:lang w:val="en-US" w:eastAsia="zh-CN"/>
        </w:rPr>
        <w:t>如有异议，</w:t>
      </w:r>
      <w:r>
        <w:rPr>
          <w:spacing w:val="8"/>
          <w:highlight w:val="none"/>
          <w:lang w:eastAsia="zh-CN"/>
        </w:rPr>
        <w:t>应当在甲方发出通知后3日内提出异议并提供依据，异议不成立或未提出异议的，视为认可甲方主张的金额。应当在明确责任后10日内支付完毕，否则每逾期一天按日万分之五支付滞纳金。</w:t>
      </w:r>
      <w:r>
        <w:rPr>
          <w:rFonts w:hint="eastAsia"/>
          <w:spacing w:val="8"/>
          <w:highlight w:val="none"/>
          <w:lang w:eastAsia="zh-CN"/>
        </w:rPr>
        <w:t>乙方的违约行为触犯本合同多个条款且违约金存在差异的，则以高者为准计算。若本合同乙方应当承担的违约责任不足以弥补甲方损失的，乙方还应当赔偿损失。</w:t>
      </w:r>
      <w:r>
        <w:rPr>
          <w:rFonts w:hint="eastAsia"/>
          <w:b/>
          <w:bCs/>
          <w:spacing w:val="8"/>
          <w:highlight w:val="none"/>
          <w:lang w:eastAsia="zh-CN"/>
        </w:rPr>
        <w:t>乙方确认甲方有权直接从本合同或双方其他合同未付款中扣除前述各项费用。</w:t>
      </w:r>
    </w:p>
    <w:p w14:paraId="1666F95A">
      <w:pPr>
        <w:pStyle w:val="2"/>
        <w:numPr>
          <w:ilvl w:val="1"/>
          <w:numId w:val="1"/>
        </w:numPr>
        <w:spacing w:before="152" w:line="288" w:lineRule="auto"/>
        <w:ind w:right="3"/>
        <w:rPr>
          <w:spacing w:val="8"/>
          <w:highlight w:val="none"/>
          <w:lang w:eastAsia="zh-CN"/>
        </w:rPr>
      </w:pPr>
      <w:r>
        <w:rPr>
          <w:rFonts w:hint="eastAsia"/>
          <w:spacing w:val="8"/>
          <w:highlight w:val="none"/>
          <w:lang w:eastAsia="zh-CN"/>
        </w:rPr>
        <w:t>乙方违反与甲方签署的其他合同、协议构成违约应当承担支付赔偿金、违约金或有关费用的，甲方有权径直在本合同服务费中扣除。</w:t>
      </w:r>
    </w:p>
    <w:p w14:paraId="046868F2">
      <w:pPr>
        <w:pStyle w:val="2"/>
        <w:numPr>
          <w:ilvl w:val="1"/>
          <w:numId w:val="1"/>
        </w:numPr>
        <w:spacing w:before="152" w:line="288" w:lineRule="auto"/>
        <w:ind w:right="3"/>
        <w:rPr>
          <w:b/>
          <w:bCs/>
          <w:spacing w:val="8"/>
          <w:highlight w:val="none"/>
          <w:lang w:eastAsia="zh-CN"/>
        </w:rPr>
      </w:pPr>
      <w:r>
        <w:rPr>
          <w:b/>
          <w:bCs/>
          <w:spacing w:val="8"/>
          <w:highlight w:val="none"/>
          <w:lang w:eastAsia="zh-CN"/>
        </w:rPr>
        <w:t>本合同中的“经济损失”包括但不限于：财产损失、损害赔偿、人工费、差旅费、调查费、检测费、客诉索赔费用、营业/运营损失、品牌信誉损失、诉讼与和解等法律程序成本（包括但不限于：诉讼费、保全费、保全担保费、鉴定费、律师费）、</w:t>
      </w:r>
      <w:r>
        <w:rPr>
          <w:rFonts w:hint="eastAsia"/>
          <w:b/>
          <w:bCs/>
          <w:spacing w:val="8"/>
          <w:highlight w:val="none"/>
          <w:lang w:val="en-US" w:eastAsia="zh-CN"/>
        </w:rPr>
        <w:t>行政</w:t>
      </w:r>
      <w:r>
        <w:rPr>
          <w:b/>
          <w:bCs/>
          <w:spacing w:val="8"/>
          <w:highlight w:val="none"/>
          <w:lang w:eastAsia="zh-CN"/>
        </w:rPr>
        <w:t>罚款和处罚等。</w:t>
      </w:r>
    </w:p>
    <w:p w14:paraId="62C22328">
      <w:pPr>
        <w:pStyle w:val="2"/>
        <w:numPr>
          <w:ilvl w:val="0"/>
          <w:numId w:val="1"/>
        </w:numPr>
        <w:rPr>
          <w:b/>
          <w:bCs/>
          <w:highlight w:val="none"/>
        </w:rPr>
      </w:pPr>
      <w:r>
        <w:rPr>
          <w:b/>
          <w:bCs/>
          <w:highlight w:val="none"/>
        </w:rPr>
        <w:t>其它</w:t>
      </w:r>
    </w:p>
    <w:p w14:paraId="6783C8B1">
      <w:pPr>
        <w:pStyle w:val="2"/>
        <w:numPr>
          <w:ilvl w:val="1"/>
          <w:numId w:val="1"/>
        </w:numPr>
        <w:spacing w:before="152" w:line="288" w:lineRule="auto"/>
        <w:ind w:right="3"/>
        <w:rPr>
          <w:spacing w:val="8"/>
          <w:highlight w:val="none"/>
          <w:lang w:eastAsia="zh-CN"/>
        </w:rPr>
      </w:pPr>
      <w:r>
        <w:rPr>
          <w:spacing w:val="8"/>
          <w:highlight w:val="none"/>
          <w:lang w:eastAsia="zh-CN"/>
        </w:rPr>
        <w:t>不可抗力：当发生地震、台风、水灾、火灾、战争、疫情管控等不可抗力事件，遭受不可抗力的一方应立即采取补救措施并通知对方,并且在五日内提供不可抗力的详情及将有关证明文件送交对方。发生不可抗力事件时,甲乙双方应协商以寻找一个合理的解决方法，并尽一切努力减轻不可抗力产生的后果，因没有及时通知或采取补救措施造成损失扩大的，违约方应就扩大的损失承担责任。如不可抗力事件持续三十日时，甲乙双方应友好协商解决本合同是否继续履行或终止事宜。</w:t>
      </w:r>
    </w:p>
    <w:p w14:paraId="49E7BD8D">
      <w:pPr>
        <w:pStyle w:val="2"/>
        <w:numPr>
          <w:ilvl w:val="1"/>
          <w:numId w:val="1"/>
        </w:numPr>
        <w:spacing w:before="152" w:line="288" w:lineRule="auto"/>
        <w:ind w:right="3"/>
        <w:rPr>
          <w:b/>
          <w:bCs/>
          <w:spacing w:val="8"/>
          <w:highlight w:val="none"/>
          <w:lang w:eastAsia="zh-CN"/>
        </w:rPr>
      </w:pPr>
      <w:r>
        <w:rPr>
          <w:b/>
          <w:bCs/>
          <w:spacing w:val="8"/>
          <w:highlight w:val="none"/>
          <w:lang w:eastAsia="zh-CN"/>
        </w:rPr>
        <w:t>争议解决：凡因本合同或依据本合同而签订的采购订单、补充协议等所引起的或与之相关的任何争议均应提交</w:t>
      </w:r>
      <w:r>
        <w:rPr>
          <w:rFonts w:hint="eastAsia"/>
          <w:b/>
          <w:bCs/>
          <w:spacing w:val="8"/>
          <w:highlight w:val="none"/>
          <w:lang w:val="en-US" w:eastAsia="zh-CN"/>
        </w:rPr>
        <w:t>本合同签订地人民法院诉讼，本合同于深圳市宝安区签订</w:t>
      </w:r>
      <w:r>
        <w:rPr>
          <w:b/>
          <w:bCs/>
          <w:spacing w:val="8"/>
          <w:highlight w:val="none"/>
          <w:lang w:eastAsia="zh-CN"/>
        </w:rPr>
        <w:t>。</w:t>
      </w:r>
    </w:p>
    <w:p w14:paraId="3F35B550">
      <w:pPr>
        <w:pStyle w:val="2"/>
        <w:numPr>
          <w:ilvl w:val="1"/>
          <w:numId w:val="1"/>
        </w:numPr>
        <w:spacing w:before="152" w:line="288" w:lineRule="auto"/>
        <w:ind w:right="3"/>
        <w:rPr>
          <w:b/>
          <w:bCs/>
          <w:spacing w:val="8"/>
          <w:highlight w:val="none"/>
          <w:lang w:eastAsia="zh-CN"/>
        </w:rPr>
      </w:pPr>
      <w:r>
        <w:rPr>
          <w:rFonts w:hint="eastAsia"/>
          <w:b/>
          <w:bCs/>
          <w:spacing w:val="8"/>
          <w:highlight w:val="none"/>
          <w:lang w:eastAsia="zh-CN"/>
        </w:rPr>
        <w:t>合同有效期内或合同期满、终止、解除后，乙方及乙方关联公司无论基于何种原因（包含甲乙双方及其关联公司其他合作、合同关系）应向甲方或甲方关联公司承担的债务，甲方及甲方关联公司中的任一主体（无论该主体与前述甲方或其关联公司债权主体是否一致）均有权以本合同项下的债务予以抵消。</w:t>
      </w:r>
    </w:p>
    <w:p w14:paraId="6A8185C0">
      <w:pPr>
        <w:pStyle w:val="2"/>
        <w:numPr>
          <w:ilvl w:val="1"/>
          <w:numId w:val="1"/>
        </w:numPr>
        <w:spacing w:before="152" w:line="288" w:lineRule="auto"/>
        <w:ind w:right="3"/>
        <w:rPr>
          <w:spacing w:val="8"/>
          <w:highlight w:val="none"/>
          <w:lang w:eastAsia="zh-CN"/>
        </w:rPr>
      </w:pPr>
      <w:r>
        <w:rPr>
          <w:spacing w:val="8"/>
          <w:highlight w:val="none"/>
          <w:lang w:eastAsia="zh-CN"/>
        </w:rPr>
        <w:t>通知送达：双方均同意以本合同首部约定联系地址为双方通知或文件的送达地址；如上述地址未约定，以双方注册地址为送达地址。若送达地址变更应提前15日以书面方式通知另一方。一方给另一方的通知或文件按送达地址邮寄视为送达。如按上述地址邮寄文件被邮政部门退回的，退回之日视为送达之日。如乙方经营场所、名称及主体等发生变更，乙方应提前15日以书面形式通知甲方。</w:t>
      </w:r>
    </w:p>
    <w:p w14:paraId="4F7FC5B9">
      <w:pPr>
        <w:pStyle w:val="2"/>
        <w:numPr>
          <w:ilvl w:val="1"/>
          <w:numId w:val="1"/>
        </w:numPr>
        <w:spacing w:before="152" w:line="288" w:lineRule="auto"/>
        <w:ind w:right="3"/>
        <w:rPr>
          <w:spacing w:val="8"/>
          <w:highlight w:val="none"/>
          <w:lang w:eastAsia="zh-CN"/>
        </w:rPr>
      </w:pPr>
      <w:r>
        <w:rPr>
          <w:spacing w:val="8"/>
          <w:highlight w:val="none"/>
          <w:lang w:eastAsia="zh-CN"/>
        </w:rPr>
        <w:t>本合同自双方盖章之日起成立，盖章日以合同首页上的日期为准；如双方以电子签章方式签署，则以电子签章系统记载的时间为准。本合同一式两份，双方各持一份，均具同等法律效力。</w:t>
      </w:r>
    </w:p>
    <w:p w14:paraId="6C8C6AC9">
      <w:pPr>
        <w:pStyle w:val="2"/>
        <w:numPr>
          <w:ilvl w:val="1"/>
          <w:numId w:val="1"/>
        </w:numPr>
        <w:spacing w:before="152" w:line="288" w:lineRule="auto"/>
        <w:ind w:right="3"/>
        <w:rPr>
          <w:spacing w:val="8"/>
          <w:highlight w:val="none"/>
          <w:lang w:eastAsia="zh-CN"/>
        </w:rPr>
      </w:pPr>
      <w:r>
        <w:rPr>
          <w:spacing w:val="8"/>
          <w:highlight w:val="none"/>
          <w:lang w:eastAsia="zh-CN"/>
        </w:rPr>
        <w:t>本合同的附件以及依据本合同而签订的采购订单、报价单、送货单、交接清单、维修单、补充协议等，是本合同的有效组成部分，与本合同具有同等法律效力。本合同包含如下附件：《廉洁协议》、《质量问题</w:t>
      </w:r>
      <w:r>
        <w:rPr>
          <w:rFonts w:hint="eastAsia"/>
          <w:spacing w:val="8"/>
          <w:highlight w:val="none"/>
          <w:lang w:val="en-US" w:eastAsia="zh-CN"/>
        </w:rPr>
        <w:t>处理</w:t>
      </w:r>
      <w:r>
        <w:rPr>
          <w:spacing w:val="8"/>
          <w:highlight w:val="none"/>
          <w:lang w:eastAsia="zh-CN"/>
        </w:rPr>
        <w:t>细则》</w:t>
      </w:r>
      <w:r>
        <w:rPr>
          <w:rFonts w:hint="eastAsia"/>
          <w:spacing w:val="8"/>
          <w:highlight w:val="none"/>
          <w:lang w:eastAsia="zh-CN"/>
        </w:rPr>
        <w:t>、</w:t>
      </w:r>
      <w:r>
        <w:rPr>
          <w:spacing w:val="8"/>
          <w:highlight w:val="none"/>
          <w:lang w:eastAsia="zh-CN"/>
        </w:rPr>
        <w:t>《产品基本信息及验收标准》、《采购订单》、《甲方关联公司名称》（如有）。</w:t>
      </w:r>
    </w:p>
    <w:p w14:paraId="1963B32E">
      <w:pPr>
        <w:pStyle w:val="2"/>
        <w:numPr>
          <w:ilvl w:val="1"/>
          <w:numId w:val="1"/>
        </w:numPr>
        <w:spacing w:before="152" w:line="288" w:lineRule="auto"/>
        <w:ind w:right="3"/>
        <w:rPr>
          <w:b/>
          <w:bCs/>
          <w:spacing w:val="8"/>
          <w:highlight w:val="none"/>
          <w:lang w:eastAsia="zh-CN"/>
        </w:rPr>
      </w:pPr>
      <w:r>
        <w:rPr>
          <w:rFonts w:hint="eastAsia"/>
          <w:b/>
          <w:bCs/>
          <w:spacing w:val="8"/>
          <w:highlight w:val="none"/>
          <w:lang w:eastAsia="zh-CN"/>
        </w:rPr>
        <w:t>乙方知悉且充分理解本合同条款的内容，对全部条款均无异议。在签署本合同时，甲方就本合同项下免除或者减轻其责任、加重对方责任、限制对方主要权利的条款向乙方进行了合理提示，并已就该等条款及合同其他条款向乙方进行了详细地说明和解释，乙方对该等条款的法律含义有准确无误的理解。</w:t>
      </w:r>
    </w:p>
    <w:p w14:paraId="3F11BA39">
      <w:pPr>
        <w:pStyle w:val="2"/>
        <w:spacing w:before="107" w:line="327" w:lineRule="exact"/>
        <w:ind w:left="28"/>
        <w:rPr>
          <w:spacing w:val="-2"/>
          <w:position w:val="4"/>
          <w:highlight w:val="none"/>
        </w:rPr>
      </w:pPr>
      <w:r>
        <w:rPr>
          <w:spacing w:val="-2"/>
          <w:position w:val="4"/>
          <w:highlight w:val="none"/>
        </w:rPr>
        <w:t>（以下无正文）</w:t>
      </w:r>
    </w:p>
    <w:tbl>
      <w:tblPr>
        <w:tblStyle w:val="11"/>
        <w:tblW w:w="0" w:type="auto"/>
        <w:tblInd w:w="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1"/>
        <w:gridCol w:w="4879"/>
      </w:tblGrid>
      <w:tr w14:paraId="4EF9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tcBorders>
              <w:top w:val="nil"/>
              <w:left w:val="nil"/>
              <w:bottom w:val="nil"/>
              <w:right w:val="nil"/>
            </w:tcBorders>
          </w:tcPr>
          <w:p w14:paraId="3347BA49">
            <w:pPr>
              <w:pStyle w:val="2"/>
              <w:widowControl w:val="0"/>
              <w:spacing w:before="107" w:line="327" w:lineRule="exact"/>
              <w:jc w:val="both"/>
              <w:rPr>
                <w:rFonts w:hint="default"/>
                <w:spacing w:val="-2"/>
                <w:position w:val="4"/>
                <w:highlight w:val="none"/>
                <w:lang w:val="en-US" w:eastAsia="zh-CN"/>
              </w:rPr>
            </w:pPr>
            <w:r>
              <w:rPr>
                <w:rFonts w:hint="eastAsia"/>
                <w:spacing w:val="-2"/>
                <w:position w:val="4"/>
                <w:highlight w:val="none"/>
                <w:lang w:eastAsia="zh-CN"/>
              </w:rPr>
              <w:t>甲方（盖章）：</w:t>
            </w:r>
            <w:r>
              <w:rPr>
                <w:rFonts w:hint="eastAsia"/>
                <w:spacing w:val="-2"/>
                <w:position w:val="4"/>
                <w:highlight w:val="none"/>
                <w:lang w:val="en-US" w:eastAsia="zh-CN"/>
              </w:rPr>
              <w:t xml:space="preserve"> </w:t>
            </w:r>
          </w:p>
        </w:tc>
        <w:tc>
          <w:tcPr>
            <w:tcW w:w="4879" w:type="dxa"/>
            <w:tcBorders>
              <w:top w:val="nil"/>
              <w:left w:val="nil"/>
              <w:bottom w:val="nil"/>
              <w:right w:val="nil"/>
            </w:tcBorders>
          </w:tcPr>
          <w:p w14:paraId="6238B312">
            <w:pPr>
              <w:pStyle w:val="2"/>
              <w:widowControl w:val="0"/>
              <w:spacing w:before="107" w:line="327" w:lineRule="exact"/>
              <w:jc w:val="both"/>
              <w:rPr>
                <w:rFonts w:hint="eastAsia" w:eastAsia="华文楷体"/>
                <w:spacing w:val="-2"/>
                <w:position w:val="4"/>
                <w:highlight w:val="none"/>
                <w:lang w:eastAsia="zh-CN"/>
              </w:rPr>
            </w:pPr>
            <w:r>
              <w:rPr>
                <w:rFonts w:hint="eastAsia"/>
                <w:spacing w:val="-2"/>
                <w:position w:val="4"/>
                <w:highlight w:val="none"/>
              </w:rPr>
              <w:t>乙方（盖章）：</w:t>
            </w:r>
            <w:r>
              <w:rPr>
                <w:rFonts w:hint="eastAsia"/>
                <w:spacing w:val="-2"/>
                <w:position w:val="4"/>
                <w:highlight w:val="none"/>
                <w:lang w:val="en-US" w:eastAsia="zh-CN"/>
              </w:rPr>
              <w:t xml:space="preserve"> </w:t>
            </w:r>
          </w:p>
        </w:tc>
      </w:tr>
    </w:tbl>
    <w:p w14:paraId="1A11B245">
      <w:pPr>
        <w:pStyle w:val="2"/>
        <w:spacing w:before="107" w:line="327" w:lineRule="exact"/>
        <w:ind w:left="28"/>
        <w:rPr>
          <w:spacing w:val="-2"/>
          <w:position w:val="4"/>
          <w:highlight w:val="none"/>
        </w:rPr>
      </w:pPr>
    </w:p>
    <w:p w14:paraId="610A3946">
      <w:pPr>
        <w:spacing w:line="195" w:lineRule="auto"/>
        <w:rPr>
          <w:highlight w:val="none"/>
        </w:rPr>
        <w:sectPr>
          <w:headerReference r:id="rId3" w:type="default"/>
          <w:footerReference r:id="rId4" w:type="default"/>
          <w:pgSz w:w="11906" w:h="16839"/>
          <w:pgMar w:top="579" w:right="617" w:bottom="480" w:left="680" w:header="565" w:footer="200" w:gutter="0"/>
          <w:cols w:space="720" w:num="1"/>
        </w:sectPr>
      </w:pPr>
    </w:p>
    <w:p w14:paraId="757BE796">
      <w:pPr>
        <w:spacing w:line="400" w:lineRule="exact"/>
        <w:outlineLvl w:val="2"/>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附件一：《廉洁协议》</w:t>
      </w:r>
    </w:p>
    <w:p w14:paraId="66AFA155">
      <w:pPr>
        <w:spacing w:line="400" w:lineRule="exact"/>
        <w:rPr>
          <w:rFonts w:ascii="华文楷体" w:hAnsi="华文楷体" w:eastAsia="华文楷体" w:cs="华文楷体"/>
          <w:color w:val="FF0000"/>
          <w:sz w:val="20"/>
          <w:szCs w:val="20"/>
          <w:highlight w:val="none"/>
          <w:lang w:eastAsia="zh-CN"/>
        </w:rPr>
      </w:pPr>
      <w:r>
        <w:rPr>
          <w:rFonts w:hint="eastAsia" w:ascii="华文楷体" w:hAnsi="华文楷体" w:eastAsia="华文楷体" w:cs="华文楷体"/>
          <w:color w:val="FF0000"/>
          <w:sz w:val="20"/>
          <w:szCs w:val="20"/>
          <w:highlight w:val="none"/>
          <w:lang w:eastAsia="zh-CN"/>
        </w:rPr>
        <w:t>说明：本协议的甲方是指需求方，乙方是指供应方。</w:t>
      </w:r>
    </w:p>
    <w:p w14:paraId="777D34E4">
      <w:pPr>
        <w:pStyle w:val="9"/>
        <w:kinsoku/>
        <w:autoSpaceDE/>
        <w:autoSpaceDN/>
        <w:adjustRightInd/>
        <w:snapToGrid/>
        <w:spacing w:before="0" w:beforeAutospacing="0" w:after="0" w:afterAutospacing="0" w:line="440" w:lineRule="exact"/>
        <w:ind w:firstLine="400" w:firstLineChars="2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鉴于双方即将或已经开展合作，为创造公平、合法、诚信、廉洁的合作环境，根据相关法律规定，在平等、自愿、公平的基础上达成如下条款：</w:t>
      </w:r>
    </w:p>
    <w:p w14:paraId="1E1C0058">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定义</w:t>
      </w:r>
    </w:p>
    <w:p w14:paraId="170D7B0A">
      <w:pPr>
        <w:pStyle w:val="21"/>
        <w:numPr>
          <w:ilvl w:val="0"/>
          <w:numId w:val="4"/>
        </w:numPr>
        <w:kinsoku/>
        <w:autoSpaceDE/>
        <w:autoSpaceDN/>
        <w:adjustRightInd/>
        <w:snapToGrid/>
        <w:spacing w:line="440" w:lineRule="exact"/>
        <w:ind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甲方人员：包括投资人、股东、董事、代理人、甲方员工、居间人、经纪人、代理人、甲方委派的其他人员和甲方人员的特定关系人。乙方：包括乙方公司、关联公司、乙方投资人、股东、董事、居间人、经纪人、代理人、乙方员工、乙方委派的其他人员和乙方的特定关系人。特定关系人：是指甲方或乙方人员的配偶、子女以及其他关系密切的亲属和朋友，以及为甲方或乙方提供银行账户、借用名义/姓名及其他便利、帮助的自然人或法人。</w:t>
      </w:r>
    </w:p>
    <w:p w14:paraId="31A7B36D">
      <w:pPr>
        <w:pStyle w:val="21"/>
        <w:numPr>
          <w:ilvl w:val="0"/>
          <w:numId w:val="4"/>
        </w:numPr>
        <w:kinsoku/>
        <w:autoSpaceDE/>
        <w:autoSpaceDN/>
        <w:adjustRightInd/>
        <w:snapToGrid/>
        <w:spacing w:line="440" w:lineRule="exact"/>
        <w:ind w:firstLine="400"/>
        <w:textAlignment w:val="auto"/>
        <w:rPr>
          <w:rFonts w:ascii="华文楷体" w:hAnsi="华文楷体" w:eastAsia="华文楷体" w:cs="华文楷体"/>
          <w:b/>
          <w:bCs/>
          <w:sz w:val="20"/>
          <w:szCs w:val="20"/>
          <w:highlight w:val="none"/>
          <w:lang w:eastAsia="zh-CN"/>
        </w:rPr>
      </w:pPr>
      <w:r>
        <w:rPr>
          <w:rFonts w:hint="eastAsia" w:ascii="华文楷体" w:hAnsi="华文楷体" w:eastAsia="华文楷体" w:cs="华文楷体"/>
          <w:sz w:val="20"/>
          <w:szCs w:val="20"/>
          <w:highlight w:val="none"/>
          <w:lang w:eastAsia="zh-CN"/>
        </w:rPr>
        <w:t>“合作”是指：甲乙双方之间存在买卖、租赁、加工承揽、委托服务等商业往来（或称经济活动）。</w:t>
      </w:r>
      <w:r>
        <w:rPr>
          <w:rFonts w:hint="eastAsia" w:ascii="华文楷体" w:hAnsi="华文楷体" w:eastAsia="华文楷体" w:cs="华文楷体"/>
          <w:b/>
          <w:bCs/>
          <w:sz w:val="20"/>
          <w:szCs w:val="20"/>
          <w:highlight w:val="none"/>
          <w:lang w:eastAsia="zh-CN"/>
        </w:rPr>
        <w:t>“合作期间”是指：甲乙双方合作实际发生之日往前1年起至合作实际终止之日往后2年时止，合作期间甲乙双方均受本协议的约束。</w:t>
      </w:r>
    </w:p>
    <w:p w14:paraId="723A8D9B">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禁止行为</w:t>
      </w:r>
    </w:p>
    <w:p w14:paraId="4BFE0416">
      <w:pPr>
        <w:pStyle w:val="21"/>
        <w:numPr>
          <w:ilvl w:val="0"/>
          <w:numId w:val="5"/>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双方合作期间，乙方不得向甲方人员输送利益，亦不得有合作、合伙、共同投资、共同创作等情形。具体包括但不限于以下行为：1）为甲方人员或特定关系人安排或提供工作、合作机会、学习、养老、出国、旅游、餐饮宴会、娱乐、保健保养或其他有偿服务；2）直接或变相使甲方人员或特定关系人获得利益，如馈赠、资助、出借、转让、租赁、买卖、授权、特许、报销、允许占有、给予承诺、代付日常开支等；3）与甲方人员或特定关系人存在资金往来，包括互相借款、借用账户、代收款项等；4）与甲方人员或特定关系人推荐的机构或个人产生商业往来，包括向后者投资或出借财物、向后者采购商品或服务、发展后者为代理商或特许经营合作方、与后者合作经营等。</w:t>
      </w:r>
    </w:p>
    <w:p w14:paraId="2360CC69">
      <w:pPr>
        <w:pStyle w:val="21"/>
        <w:numPr>
          <w:ilvl w:val="0"/>
          <w:numId w:val="5"/>
        </w:numPr>
        <w:kinsoku/>
        <w:autoSpaceDE/>
        <w:autoSpaceDN/>
        <w:adjustRightInd/>
        <w:snapToGrid/>
        <w:spacing w:line="440" w:lineRule="exact"/>
        <w:ind w:left="0" w:firstLine="400"/>
        <w:textAlignment w:val="auto"/>
        <w:rPr>
          <w:rFonts w:ascii="华文楷体" w:hAnsi="华文楷体" w:eastAsia="华文楷体" w:cs="华文楷体"/>
          <w:b/>
          <w:bCs/>
          <w:sz w:val="20"/>
          <w:szCs w:val="20"/>
          <w:highlight w:val="none"/>
          <w:lang w:eastAsia="zh-CN"/>
        </w:rPr>
      </w:pPr>
      <w:r>
        <w:rPr>
          <w:rFonts w:hint="eastAsia" w:ascii="华文楷体" w:hAnsi="华文楷体" w:eastAsia="华文楷体" w:cs="华文楷体"/>
          <w:b/>
          <w:sz w:val="20"/>
          <w:szCs w:val="20"/>
          <w:highlight w:val="none"/>
          <w:lang w:eastAsia="zh-CN"/>
        </w:rPr>
        <w:t>前款未尽情形的，满足以下条件之一的均在本协议所禁止之列：1）甲方人员或特定关系人因此受益的；2）有违反公平、公开、守法、诚信、廉洁情形的；3）乙方以关联公司、委托代理人等方式间接从事上述行为的。</w:t>
      </w:r>
    </w:p>
    <w:p w14:paraId="0B372F0A">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回避与示明</w:t>
      </w:r>
    </w:p>
    <w:p w14:paraId="30378B76">
      <w:pPr>
        <w:pStyle w:val="21"/>
        <w:numPr>
          <w:ilvl w:val="0"/>
          <w:numId w:val="6"/>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乙方与甲方人员具有下列情形之一的乙方应当自行回避或向甲方示明：1）甲乙双方人员存在夫妻关系、男女朋友关系、亲属关系、朋友关系、合作关系及其他利害关系的；2）乙方人员曾在甲方任职；3）甲方人员曾在乙方任职。</w:t>
      </w:r>
    </w:p>
    <w:p w14:paraId="3E9B78D9">
      <w:pPr>
        <w:pStyle w:val="21"/>
        <w:numPr>
          <w:ilvl w:val="0"/>
          <w:numId w:val="6"/>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合作期间乙方与甲方人员不得私下共同会餐（工作餐除外）、娱乐、旅游观光、出入对方私人住宅等。</w:t>
      </w:r>
    </w:p>
    <w:p w14:paraId="15249CE5">
      <w:pPr>
        <w:pStyle w:val="21"/>
        <w:numPr>
          <w:ilvl w:val="0"/>
          <w:numId w:val="6"/>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在合作期间，甲方人员从甲方离职后乙方不得录用，亦不得以顾问、咨询服务等方式与其合作。在本协议签订之前已经发生前述情形的，乙方应当主动披露且安排相关人员回避。</w:t>
      </w:r>
    </w:p>
    <w:p w14:paraId="62D07F89">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检举、揭发</w:t>
      </w:r>
    </w:p>
    <w:p w14:paraId="0A531AC5">
      <w:pPr>
        <w:pStyle w:val="21"/>
        <w:numPr>
          <w:ilvl w:val="0"/>
          <w:numId w:val="7"/>
        </w:numPr>
        <w:kinsoku/>
        <w:autoSpaceDE/>
        <w:autoSpaceDN/>
        <w:adjustRightInd/>
        <w:snapToGrid/>
        <w:spacing w:line="440" w:lineRule="exact"/>
        <w:ind w:left="0" w:firstLine="400"/>
        <w:textAlignment w:val="auto"/>
        <w:rPr>
          <w:rFonts w:ascii="华文楷体" w:hAnsi="华文楷体" w:eastAsia="华文楷体" w:cs="华文楷体"/>
          <w:b/>
          <w:sz w:val="20"/>
          <w:szCs w:val="20"/>
          <w:highlight w:val="none"/>
          <w:lang w:eastAsia="zh-CN"/>
        </w:rPr>
      </w:pPr>
      <w:r>
        <w:rPr>
          <w:rFonts w:hint="eastAsia" w:ascii="华文楷体" w:hAnsi="华文楷体" w:eastAsia="华文楷体" w:cs="华文楷体"/>
          <w:b/>
          <w:bCs/>
          <w:sz w:val="20"/>
          <w:szCs w:val="20"/>
          <w:highlight w:val="none"/>
          <w:lang w:eastAsia="zh-CN"/>
        </w:rPr>
        <w:t>甲乙双方一致认为本协议约定的所有事项为双方合作的前提和基础，是双方不可逾越的底线。甲方人员有下列情形的，乙方应当向甲方如实举报：1）甲方人员索取、接受本协议禁止行为的任何一项利益的；2）甲方人员故意刁难乙方迫使向其输送利益的；3）甲方人员以明示、暗示方式向乙方透漏和乙方具有竞争关系的第三方与甲方的合作事宜的；4）有其他不正当行为，可能影响甲乙双方利益的。</w:t>
      </w:r>
    </w:p>
    <w:p w14:paraId="2A14081B">
      <w:pPr>
        <w:pStyle w:val="21"/>
        <w:numPr>
          <w:ilvl w:val="0"/>
          <w:numId w:val="7"/>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经甲方调查发现相关人员违反禁止、回避、示明事项的，乙方应配合调查，如实陈述，不得隐瞒；如甲方要求乙方作证的，乙方不得拒绝。</w:t>
      </w:r>
    </w:p>
    <w:p w14:paraId="2A51CED1">
      <w:pPr>
        <w:pStyle w:val="21"/>
        <w:numPr>
          <w:ilvl w:val="0"/>
          <w:numId w:val="7"/>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sz w:val="20"/>
          <w:szCs w:val="20"/>
          <w:highlight w:val="none"/>
          <w:lang w:eastAsia="zh-CN"/>
        </w:rPr>
        <w:t>乙方主动向甲方检举揭发甲方人员违反本廉洁协议的，甲方可以从轻或免于追究乙方责任。</w:t>
      </w:r>
      <w:r>
        <w:rPr>
          <w:rFonts w:hint="eastAsia" w:ascii="华文楷体" w:hAnsi="华文楷体" w:eastAsia="华文楷体" w:cs="华文楷体"/>
          <w:b/>
          <w:bCs/>
          <w:sz w:val="20"/>
          <w:szCs w:val="20"/>
          <w:highlight w:val="none"/>
          <w:u w:val="single"/>
          <w:lang w:eastAsia="zh-CN"/>
        </w:rPr>
        <w:t>甲方检举电话：18102250170（微信同号），固定电话：0755-23233726；邮箱：kyejcb@ky-express.com。</w:t>
      </w:r>
      <w:r>
        <w:rPr>
          <w:rFonts w:hint="eastAsia" w:ascii="华文楷体" w:hAnsi="华文楷体" w:eastAsia="华文楷体" w:cs="华文楷体"/>
          <w:b/>
          <w:bCs/>
          <w:sz w:val="20"/>
          <w:szCs w:val="20"/>
          <w:highlight w:val="none"/>
          <w:lang w:eastAsia="zh-CN"/>
        </w:rPr>
        <w:t>甲方将对检举人及其提供的全部资料严格保密。</w:t>
      </w:r>
    </w:p>
    <w:p w14:paraId="6C0DFB21">
      <w:pPr>
        <w:pStyle w:val="21"/>
        <w:numPr>
          <w:ilvl w:val="0"/>
          <w:numId w:val="7"/>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u w:val="single"/>
          <w:lang w:eastAsia="zh-CN"/>
        </w:rPr>
      </w:pPr>
      <w:r>
        <w:rPr>
          <w:rFonts w:hint="eastAsia" w:ascii="华文楷体" w:hAnsi="华文楷体" w:eastAsia="华文楷体" w:cs="华文楷体"/>
          <w:sz w:val="20"/>
          <w:szCs w:val="20"/>
          <w:highlight w:val="none"/>
          <w:lang w:eastAsia="zh-CN"/>
        </w:rPr>
        <w:t>乙方主动</w:t>
      </w:r>
      <w:bookmarkStart w:id="0" w:name="_Hlk74820181"/>
      <w:r>
        <w:rPr>
          <w:rFonts w:hint="eastAsia" w:ascii="华文楷体" w:hAnsi="华文楷体" w:eastAsia="华文楷体" w:cs="华文楷体"/>
          <w:sz w:val="20"/>
          <w:szCs w:val="20"/>
          <w:highlight w:val="none"/>
          <w:lang w:eastAsia="zh-CN"/>
        </w:rPr>
        <w:t>检举揭发甲方人员</w:t>
      </w:r>
      <w:bookmarkEnd w:id="0"/>
      <w:r>
        <w:rPr>
          <w:rFonts w:hint="eastAsia" w:ascii="华文楷体" w:hAnsi="华文楷体" w:eastAsia="华文楷体" w:cs="华文楷体"/>
          <w:sz w:val="20"/>
          <w:szCs w:val="20"/>
          <w:highlight w:val="none"/>
          <w:lang w:eastAsia="zh-CN"/>
        </w:rPr>
        <w:t>违反本协议约定的，在同等条件下甲方可将其列为优先合作对象。</w:t>
      </w:r>
    </w:p>
    <w:p w14:paraId="5CBC52A8">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违约赔偿责任</w:t>
      </w:r>
    </w:p>
    <w:p w14:paraId="35325300">
      <w:pPr>
        <w:pStyle w:val="21"/>
        <w:numPr>
          <w:ilvl w:val="0"/>
          <w:numId w:val="8"/>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rPr>
      </w:pPr>
      <w:bookmarkStart w:id="1" w:name="_Hlk74833212"/>
      <w:r>
        <w:rPr>
          <w:rFonts w:hint="eastAsia" w:ascii="华文楷体" w:hAnsi="华文楷体" w:eastAsia="华文楷体" w:cs="华文楷体"/>
          <w:b/>
          <w:sz w:val="20"/>
          <w:szCs w:val="20"/>
          <w:highlight w:val="none"/>
          <w:lang w:eastAsia="zh-CN"/>
        </w:rPr>
        <w:t>乙方违反本协议第二条、第三条约定</w:t>
      </w:r>
      <w:bookmarkEnd w:id="1"/>
      <w:r>
        <w:rPr>
          <w:rFonts w:hint="eastAsia" w:ascii="华文楷体" w:hAnsi="华文楷体" w:eastAsia="华文楷体" w:cs="华文楷体"/>
          <w:b/>
          <w:sz w:val="20"/>
          <w:szCs w:val="20"/>
          <w:highlight w:val="none"/>
          <w:lang w:eastAsia="zh-CN"/>
        </w:rPr>
        <w:t>的，视为以欺骗、违法方式与甲方订立合同，违反公平交易原则，属于根本性违约。甲方有权立即部分或全部终止与乙方签订的所有协议，尚未签订的则有权终止签订。</w:t>
      </w:r>
      <w:r>
        <w:rPr>
          <w:rFonts w:hint="eastAsia" w:ascii="华文楷体" w:hAnsi="华文楷体" w:eastAsia="华文楷体" w:cs="华文楷体"/>
          <w:b/>
          <w:sz w:val="20"/>
          <w:szCs w:val="20"/>
          <w:highlight w:val="none"/>
        </w:rPr>
        <w:t>前述原因终止的甲方无需承担责任。</w:t>
      </w:r>
    </w:p>
    <w:p w14:paraId="09A28F5D">
      <w:pPr>
        <w:pStyle w:val="21"/>
        <w:numPr>
          <w:ilvl w:val="0"/>
          <w:numId w:val="8"/>
        </w:numPr>
        <w:kinsoku/>
        <w:autoSpaceDE/>
        <w:autoSpaceDN/>
        <w:adjustRightInd/>
        <w:snapToGrid/>
        <w:spacing w:line="440" w:lineRule="exact"/>
        <w:ind w:left="0"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lang w:eastAsia="zh-CN"/>
        </w:rPr>
        <w:t>乙方违反本协议第二条、第三条约定的，按照以下标准计算违约金（以下违约金标准由甲方选择，或者按照金额较高的适用）：1）由甲方向市场公开询价，如有低于乙方合同价格的报价，则以该最低报价为标准重新核算甲乙双方已履行的合同费用，乙方向甲方退还所有差额；如甲方同意继续履行合同，则按照该最低报价继续履行。</w:t>
      </w:r>
      <w:r>
        <w:rPr>
          <w:rFonts w:hint="eastAsia" w:ascii="华文楷体" w:hAnsi="华文楷体" w:eastAsia="华文楷体" w:cs="华文楷体"/>
          <w:b/>
          <w:sz w:val="20"/>
          <w:szCs w:val="20"/>
          <w:highlight w:val="none"/>
        </w:rPr>
        <w:t>2）按照双方协议总价款的30%计算违约金。</w:t>
      </w:r>
    </w:p>
    <w:p w14:paraId="75CA8C2B">
      <w:pPr>
        <w:pStyle w:val="21"/>
        <w:numPr>
          <w:ilvl w:val="0"/>
          <w:numId w:val="8"/>
        </w:numPr>
        <w:kinsoku/>
        <w:autoSpaceDE/>
        <w:autoSpaceDN/>
        <w:adjustRightInd/>
        <w:snapToGrid/>
        <w:spacing w:line="440" w:lineRule="exact"/>
        <w:ind w:left="0"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lang w:eastAsia="zh-CN"/>
        </w:rPr>
        <w:t>因乙方违约给甲方或第三方造成损失的，乙方应赔偿全部损失并赔偿甲方因此支付的费用，包括甲方向第三方支付的费用、直接或间接损失、为处理违约事项付出的人工费等。</w:t>
      </w:r>
      <w:r>
        <w:rPr>
          <w:rFonts w:hint="eastAsia" w:ascii="华文楷体" w:hAnsi="华文楷体" w:eastAsia="华文楷体" w:cs="华文楷体"/>
          <w:b/>
          <w:sz w:val="20"/>
          <w:szCs w:val="20"/>
          <w:highlight w:val="none"/>
        </w:rPr>
        <w:t>损失难以计算的按50万元计算。</w:t>
      </w:r>
    </w:p>
    <w:p w14:paraId="13045D0D">
      <w:pPr>
        <w:pStyle w:val="21"/>
        <w:numPr>
          <w:ilvl w:val="0"/>
          <w:numId w:val="8"/>
        </w:numPr>
        <w:kinsoku/>
        <w:autoSpaceDE/>
        <w:autoSpaceDN/>
        <w:adjustRightInd/>
        <w:snapToGrid/>
        <w:spacing w:line="440" w:lineRule="exact"/>
        <w:ind w:left="0" w:firstLine="400"/>
        <w:textAlignment w:val="auto"/>
        <w:rPr>
          <w:rFonts w:ascii="华文楷体" w:hAnsi="华文楷体" w:eastAsia="华文楷体" w:cs="华文楷体"/>
          <w:sz w:val="20"/>
          <w:szCs w:val="20"/>
          <w:highlight w:val="none"/>
          <w:lang w:eastAsia="zh-CN"/>
        </w:rPr>
      </w:pPr>
      <w:r>
        <w:rPr>
          <w:rFonts w:hint="eastAsia" w:ascii="华文楷体" w:hAnsi="华文楷体" w:eastAsia="华文楷体" w:cs="华文楷体"/>
          <w:bCs/>
          <w:sz w:val="20"/>
          <w:szCs w:val="20"/>
          <w:highlight w:val="none"/>
          <w:lang w:eastAsia="zh-CN"/>
        </w:rPr>
        <w:t>违约金甲方有权从应付款项中直接扣除。</w:t>
      </w:r>
      <w:r>
        <w:rPr>
          <w:rFonts w:hint="eastAsia" w:ascii="华文楷体" w:hAnsi="华文楷体" w:eastAsia="华文楷体" w:cs="华文楷体"/>
          <w:sz w:val="20"/>
          <w:szCs w:val="20"/>
          <w:highlight w:val="none"/>
          <w:lang w:eastAsia="zh-CN"/>
        </w:rPr>
        <w:t>如甲方通过司法途径主张权利的，乙方应承担律师费、诉讼或仲裁费、差旅费等维权产生的所有费用；由甲方员工办理的，按每个诉讼阶段壹万元整计算。</w:t>
      </w:r>
      <w:r>
        <w:rPr>
          <w:rFonts w:hint="eastAsia" w:ascii="华文楷体" w:hAnsi="华文楷体" w:eastAsia="华文楷体" w:cs="华文楷体"/>
          <w:bCs/>
          <w:sz w:val="20"/>
          <w:szCs w:val="20"/>
          <w:highlight w:val="none"/>
          <w:lang w:eastAsia="zh-CN"/>
        </w:rPr>
        <w:t>同时，甲方有权向社会公开披露乙方的不廉洁行为。</w:t>
      </w:r>
    </w:p>
    <w:p w14:paraId="19CAA87E">
      <w:pPr>
        <w:pStyle w:val="21"/>
        <w:numPr>
          <w:ilvl w:val="0"/>
          <w:numId w:val="3"/>
        </w:numPr>
        <w:kinsoku/>
        <w:autoSpaceDE/>
        <w:autoSpaceDN/>
        <w:adjustRightInd/>
        <w:snapToGrid/>
        <w:spacing w:line="440" w:lineRule="exact"/>
        <w:ind w:firstLine="400"/>
        <w:textAlignment w:val="auto"/>
        <w:rPr>
          <w:rFonts w:ascii="华文楷体" w:hAnsi="华文楷体" w:eastAsia="华文楷体" w:cs="华文楷体"/>
          <w:b/>
          <w:sz w:val="20"/>
          <w:szCs w:val="20"/>
          <w:highlight w:val="none"/>
        </w:rPr>
      </w:pPr>
      <w:r>
        <w:rPr>
          <w:rFonts w:hint="eastAsia" w:ascii="华文楷体" w:hAnsi="华文楷体" w:eastAsia="华文楷体" w:cs="华文楷体"/>
          <w:b/>
          <w:sz w:val="20"/>
          <w:szCs w:val="20"/>
          <w:highlight w:val="none"/>
        </w:rPr>
        <w:t>其它约定</w:t>
      </w:r>
    </w:p>
    <w:p w14:paraId="3B95CFA9">
      <w:pPr>
        <w:numPr>
          <w:ilvl w:val="0"/>
          <w:numId w:val="9"/>
        </w:numPr>
        <w:kinsoku/>
        <w:autoSpaceDE/>
        <w:autoSpaceDN/>
        <w:adjustRightInd/>
        <w:snapToGrid/>
        <w:spacing w:line="440" w:lineRule="exact"/>
        <w:ind w:left="0" w:firstLine="400" w:firstLineChars="200"/>
        <w:textAlignment w:val="auto"/>
        <w:rPr>
          <w:rFonts w:ascii="华文楷体" w:hAnsi="华文楷体" w:eastAsia="华文楷体" w:cs="华文楷体"/>
          <w:bCs/>
          <w:sz w:val="20"/>
          <w:szCs w:val="20"/>
          <w:highlight w:val="none"/>
          <w:lang w:eastAsia="zh-CN"/>
        </w:rPr>
      </w:pPr>
      <w:r>
        <w:rPr>
          <w:rFonts w:hint="eastAsia" w:ascii="华文楷体" w:hAnsi="华文楷体" w:eastAsia="华文楷体" w:cs="华文楷体"/>
          <w:b/>
          <w:sz w:val="20"/>
          <w:szCs w:val="20"/>
          <w:highlight w:val="none"/>
          <w:lang w:eastAsia="zh-CN"/>
        </w:rPr>
        <w:t>若双方因本合同发生争议，双方同意提交</w:t>
      </w:r>
      <w:r>
        <w:rPr>
          <w:rFonts w:hint="eastAsia" w:ascii="华文楷体" w:hAnsi="华文楷体" w:eastAsia="华文楷体" w:cs="华文楷体"/>
          <w:b/>
          <w:sz w:val="20"/>
          <w:szCs w:val="20"/>
          <w:highlight w:val="none"/>
          <w:lang w:val="en-US" w:eastAsia="zh-CN"/>
        </w:rPr>
        <w:t>本协议签订地人民法院诉讼，本协议签订于广东省深圳市宝安区</w:t>
      </w:r>
      <w:r>
        <w:rPr>
          <w:rFonts w:hint="eastAsia" w:ascii="华文楷体" w:hAnsi="华文楷体" w:eastAsia="华文楷体" w:cs="华文楷体"/>
          <w:b/>
          <w:sz w:val="20"/>
          <w:szCs w:val="20"/>
          <w:highlight w:val="none"/>
          <w:lang w:eastAsia="zh-CN"/>
        </w:rPr>
        <w:t>。本协议签署前有管辖相关约定与本协议冲突的，以本协议为准。</w:t>
      </w:r>
    </w:p>
    <w:p w14:paraId="580DD6E0">
      <w:pPr>
        <w:numPr>
          <w:ilvl w:val="0"/>
          <w:numId w:val="9"/>
        </w:numPr>
        <w:kinsoku/>
        <w:autoSpaceDE/>
        <w:autoSpaceDN/>
        <w:adjustRightInd/>
        <w:snapToGrid/>
        <w:spacing w:line="440" w:lineRule="exact"/>
        <w:ind w:left="0" w:firstLine="400" w:firstLineChars="200"/>
        <w:textAlignment w:val="auto"/>
        <w:rPr>
          <w:rFonts w:ascii="华文楷体" w:hAnsi="华文楷体" w:eastAsia="华文楷体" w:cs="华文楷体"/>
          <w:b/>
          <w:sz w:val="20"/>
          <w:szCs w:val="20"/>
          <w:highlight w:val="none"/>
          <w:lang w:eastAsia="zh-CN"/>
        </w:rPr>
      </w:pPr>
      <w:r>
        <w:rPr>
          <w:rFonts w:hint="eastAsia" w:ascii="华文楷体" w:hAnsi="华文楷体" w:eastAsia="华文楷体" w:cs="华文楷体"/>
          <w:bCs/>
          <w:sz w:val="20"/>
          <w:szCs w:val="20"/>
          <w:highlight w:val="none"/>
          <w:lang w:eastAsia="zh-CN"/>
        </w:rPr>
        <w:t>乙方保证自本协议签订之日起立即对涉及双方合作事宜的乙方人员进行培训和考核，并持续定期向乙方人员进行相关法律、职业道德、贪腐的社会危害等培训。乙方保证乙方人员充分知悉本协议约定的禁止情形和应当自行回避或示明的情形，并自愿遵照执行。</w:t>
      </w:r>
      <w:r>
        <w:rPr>
          <w:rFonts w:hint="eastAsia" w:ascii="华文楷体" w:hAnsi="华文楷体" w:eastAsia="华文楷体" w:cs="华文楷体"/>
          <w:b/>
          <w:sz w:val="20"/>
          <w:szCs w:val="20"/>
          <w:highlight w:val="none"/>
          <w:lang w:eastAsia="zh-CN"/>
        </w:rPr>
        <w:t>乙方不采取培训、考核措施的，或默许、放任绝对禁止情形发生的，或应当回避而没有自行回避或向甲方示明的，都视为乙方具有主观故意。</w:t>
      </w:r>
    </w:p>
    <w:p w14:paraId="3DB825FD">
      <w:pPr>
        <w:numPr>
          <w:ilvl w:val="0"/>
          <w:numId w:val="9"/>
        </w:numPr>
        <w:kinsoku/>
        <w:autoSpaceDE/>
        <w:autoSpaceDN/>
        <w:adjustRightInd/>
        <w:snapToGrid/>
        <w:spacing w:line="440" w:lineRule="exact"/>
        <w:ind w:left="0" w:firstLine="400" w:firstLineChars="200"/>
        <w:textAlignment w:val="auto"/>
        <w:rPr>
          <w:rFonts w:ascii="华文楷体" w:hAnsi="华文楷体" w:eastAsia="华文楷体" w:cs="华文楷体"/>
          <w:b/>
          <w:sz w:val="20"/>
          <w:szCs w:val="20"/>
          <w:highlight w:val="none"/>
          <w:u w:val="single"/>
          <w:lang w:eastAsia="zh-CN"/>
        </w:rPr>
      </w:pPr>
      <w:r>
        <w:rPr>
          <w:rFonts w:hint="eastAsia" w:ascii="华文楷体" w:hAnsi="华文楷体" w:eastAsia="华文楷体" w:cs="华文楷体"/>
          <w:b/>
          <w:sz w:val="20"/>
          <w:szCs w:val="20"/>
          <w:highlight w:val="none"/>
          <w:u w:val="single"/>
          <w:lang w:eastAsia="zh-CN"/>
        </w:rPr>
        <w:t>是否违反本协议不以是否实际发生或造成损失为判断依据，而应以在合作期间是否具有禁止行为或具有应当回避而未回避情形为依据。若在合作期间具有前述行为，则判定违反本协议，无论是乙方组织实施还是乙方人员个人行为，都应由乙方承担责任。</w:t>
      </w:r>
    </w:p>
    <w:p w14:paraId="26FDCE82">
      <w:pPr>
        <w:numPr>
          <w:ilvl w:val="0"/>
          <w:numId w:val="9"/>
        </w:numPr>
        <w:kinsoku/>
        <w:autoSpaceDE/>
        <w:autoSpaceDN/>
        <w:adjustRightInd/>
        <w:snapToGrid/>
        <w:spacing w:line="440" w:lineRule="exact"/>
        <w:ind w:left="0" w:firstLine="400" w:firstLineChars="200"/>
        <w:textAlignment w:val="auto"/>
        <w:rPr>
          <w:rFonts w:ascii="华文楷体" w:hAnsi="华文楷体" w:eastAsia="华文楷体" w:cs="华文楷体"/>
          <w:bCs/>
          <w:sz w:val="20"/>
          <w:szCs w:val="20"/>
          <w:highlight w:val="none"/>
          <w:lang w:eastAsia="zh-CN"/>
        </w:rPr>
      </w:pPr>
      <w:r>
        <w:rPr>
          <w:rFonts w:hint="eastAsia" w:ascii="华文楷体" w:hAnsi="华文楷体" w:eastAsia="华文楷体" w:cs="华文楷体"/>
          <w:bCs/>
          <w:sz w:val="20"/>
          <w:szCs w:val="20"/>
          <w:highlight w:val="none"/>
          <w:lang w:eastAsia="zh-CN"/>
        </w:rPr>
        <w:t>本协议一式两份，甲乙双方各执一份，与主合同（合同正文）同时生效，均具有同等法律效力。</w:t>
      </w:r>
    </w:p>
    <w:p w14:paraId="6AD6B01D">
      <w:pPr>
        <w:spacing w:line="400" w:lineRule="exact"/>
        <w:outlineLvl w:val="2"/>
        <w:rPr>
          <w:rFonts w:ascii="宋体" w:hAnsi="宋体" w:cs="宋体"/>
          <w:b/>
          <w:highlight w:val="none"/>
          <w:lang w:eastAsia="zh-CN"/>
        </w:rPr>
      </w:pPr>
    </w:p>
    <w:p w14:paraId="64244482">
      <w:pPr>
        <w:spacing w:line="278" w:lineRule="exact"/>
        <w:rPr>
          <w:sz w:val="18"/>
          <w:szCs w:val="18"/>
          <w:highlight w:val="none"/>
          <w:lang w:eastAsia="zh-CN"/>
        </w:rPr>
        <w:sectPr>
          <w:headerReference r:id="rId5" w:type="default"/>
          <w:footerReference r:id="rId6" w:type="default"/>
          <w:pgSz w:w="11906" w:h="16839"/>
          <w:pgMar w:top="400" w:right="506" w:bottom="480" w:left="566" w:header="0" w:footer="200" w:gutter="0"/>
          <w:cols w:space="720" w:num="1"/>
        </w:sectPr>
      </w:pPr>
    </w:p>
    <w:p w14:paraId="060786AF">
      <w:pPr>
        <w:pStyle w:val="2"/>
        <w:rPr>
          <w:b/>
          <w:bCs/>
          <w:highlight w:val="none"/>
          <w:lang w:eastAsia="zh-CN"/>
        </w:rPr>
      </w:pPr>
      <w:r>
        <w:rPr>
          <w:b/>
          <w:bCs/>
          <w:highlight w:val="none"/>
          <w:lang w:eastAsia="zh-CN"/>
        </w:rPr>
        <w:t>附件二：《质量问题</w:t>
      </w:r>
      <w:r>
        <w:rPr>
          <w:rFonts w:hint="eastAsia"/>
          <w:b/>
          <w:bCs/>
          <w:highlight w:val="none"/>
          <w:lang w:val="en-US" w:eastAsia="zh-CN"/>
        </w:rPr>
        <w:t>处理</w:t>
      </w:r>
      <w:r>
        <w:rPr>
          <w:b/>
          <w:bCs/>
          <w:highlight w:val="none"/>
          <w:lang w:eastAsia="zh-CN"/>
        </w:rPr>
        <w:t>细则》</w:t>
      </w:r>
    </w:p>
    <w:p w14:paraId="110A6A6A">
      <w:pPr>
        <w:spacing w:line="0" w:lineRule="atLeast"/>
        <w:rPr>
          <w:rFonts w:ascii="华文楷体" w:hAnsi="华文楷体" w:eastAsia="华文楷体"/>
          <w:color w:val="FF0000"/>
          <w:highlight w:val="none"/>
          <w:lang w:eastAsia="zh-CN"/>
        </w:rPr>
      </w:pPr>
      <w:r>
        <w:rPr>
          <w:rFonts w:hint="eastAsia" w:ascii="华文楷体" w:hAnsi="华文楷体" w:eastAsia="华文楷体"/>
          <w:color w:val="FF0000"/>
          <w:sz w:val="18"/>
          <w:szCs w:val="18"/>
          <w:highlight w:val="none"/>
          <w:lang w:eastAsia="zh-CN"/>
        </w:rPr>
        <w:t>本协议的甲方是指需求方，乙方是指供应方。</w:t>
      </w:r>
    </w:p>
    <w:p w14:paraId="6547F7F0">
      <w:pPr>
        <w:spacing w:line="0" w:lineRule="atLeast"/>
        <w:ind w:firstLine="420"/>
        <w:rPr>
          <w:rFonts w:ascii="华文楷体" w:hAnsi="华文楷体" w:eastAsia="华文楷体" w:cs="MS Mincho"/>
          <w:sz w:val="18"/>
          <w:szCs w:val="18"/>
          <w:highlight w:val="none"/>
          <w:lang w:eastAsia="zh-CN"/>
        </w:rPr>
      </w:pPr>
      <w:r>
        <w:rPr>
          <w:rFonts w:hint="eastAsia" w:ascii="华文楷体" w:hAnsi="华文楷体" w:eastAsia="华文楷体"/>
          <w:sz w:val="18"/>
          <w:szCs w:val="18"/>
          <w:highlight w:val="none"/>
          <w:lang w:eastAsia="zh-CN"/>
        </w:rPr>
        <w:t>当乙方在合同履行期</w:t>
      </w:r>
      <w:r>
        <w:rPr>
          <w:rFonts w:hint="eastAsia" w:ascii="华文楷体" w:hAnsi="华文楷体" w:eastAsia="华文楷体" w:cs="宋体"/>
          <w:sz w:val="18"/>
          <w:szCs w:val="18"/>
          <w:highlight w:val="none"/>
          <w:lang w:eastAsia="zh-CN"/>
        </w:rPr>
        <w:t>间（包括交付后使用过程中）发</w:t>
      </w:r>
      <w:r>
        <w:rPr>
          <w:rFonts w:hint="eastAsia" w:ascii="华文楷体" w:hAnsi="华文楷体" w:eastAsia="华文楷体" w:cs="MS Mincho"/>
          <w:sz w:val="18"/>
          <w:szCs w:val="18"/>
          <w:highlight w:val="none"/>
          <w:lang w:eastAsia="zh-CN"/>
        </w:rPr>
        <w:t>生以下</w:t>
      </w:r>
      <w:r>
        <w:rPr>
          <w:rFonts w:hint="eastAsia" w:ascii="华文楷体" w:hAnsi="华文楷体" w:eastAsia="华文楷体" w:cs="宋体"/>
          <w:sz w:val="18"/>
          <w:szCs w:val="18"/>
          <w:highlight w:val="none"/>
          <w:lang w:eastAsia="zh-CN"/>
        </w:rPr>
        <w:t>违约</w:t>
      </w:r>
      <w:r>
        <w:rPr>
          <w:rFonts w:hint="eastAsia" w:ascii="华文楷体" w:hAnsi="华文楷体" w:eastAsia="华文楷体" w:cs="MS Mincho"/>
          <w:sz w:val="18"/>
          <w:szCs w:val="18"/>
          <w:highlight w:val="none"/>
          <w:lang w:eastAsia="zh-CN"/>
        </w:rPr>
        <w:t>及</w:t>
      </w:r>
      <w:r>
        <w:rPr>
          <w:rFonts w:hint="eastAsia" w:ascii="华文楷体" w:hAnsi="华文楷体" w:eastAsia="华文楷体" w:cs="宋体"/>
          <w:sz w:val="18"/>
          <w:szCs w:val="18"/>
          <w:highlight w:val="none"/>
          <w:lang w:eastAsia="zh-CN"/>
        </w:rPr>
        <w:t>质</w:t>
      </w:r>
      <w:r>
        <w:rPr>
          <w:rFonts w:hint="eastAsia" w:ascii="华文楷体" w:hAnsi="华文楷体" w:eastAsia="华文楷体" w:cs="MS Mincho"/>
          <w:sz w:val="18"/>
          <w:szCs w:val="18"/>
          <w:highlight w:val="none"/>
          <w:lang w:eastAsia="zh-CN"/>
        </w:rPr>
        <w:t>量异常情形</w:t>
      </w:r>
      <w:r>
        <w:rPr>
          <w:rFonts w:hint="eastAsia" w:ascii="华文楷体" w:hAnsi="华文楷体" w:eastAsia="华文楷体" w:cs="宋体"/>
          <w:sz w:val="18"/>
          <w:szCs w:val="18"/>
          <w:highlight w:val="none"/>
          <w:lang w:eastAsia="zh-CN"/>
        </w:rPr>
        <w:t>时</w:t>
      </w:r>
      <w:r>
        <w:rPr>
          <w:rFonts w:hint="eastAsia" w:ascii="华文楷体" w:hAnsi="华文楷体" w:eastAsia="华文楷体" w:cs="MS Mincho"/>
          <w:sz w:val="18"/>
          <w:szCs w:val="18"/>
          <w:highlight w:val="none"/>
          <w:lang w:eastAsia="zh-CN"/>
        </w:rPr>
        <w:t>，甲方除有</w:t>
      </w:r>
      <w:r>
        <w:rPr>
          <w:rFonts w:hint="eastAsia" w:ascii="华文楷体" w:hAnsi="华文楷体" w:eastAsia="华文楷体" w:cs="宋体"/>
          <w:sz w:val="18"/>
          <w:szCs w:val="18"/>
          <w:highlight w:val="none"/>
          <w:lang w:eastAsia="zh-CN"/>
        </w:rPr>
        <w:t>权</w:t>
      </w:r>
      <w:r>
        <w:rPr>
          <w:rFonts w:hint="eastAsia" w:ascii="华文楷体" w:hAnsi="华文楷体" w:eastAsia="华文楷体" w:cs="MS Mincho"/>
          <w:sz w:val="18"/>
          <w:szCs w:val="18"/>
          <w:highlight w:val="none"/>
          <w:lang w:eastAsia="zh-CN"/>
        </w:rPr>
        <w:t>按照双方</w:t>
      </w:r>
      <w:r>
        <w:rPr>
          <w:rFonts w:hint="eastAsia" w:ascii="华文楷体" w:hAnsi="华文楷体" w:eastAsia="华文楷体" w:cs="宋体"/>
          <w:sz w:val="18"/>
          <w:szCs w:val="18"/>
          <w:highlight w:val="none"/>
          <w:lang w:eastAsia="zh-CN"/>
        </w:rPr>
        <w:t>签订</w:t>
      </w:r>
      <w:r>
        <w:rPr>
          <w:rFonts w:hint="eastAsia" w:ascii="华文楷体" w:hAnsi="华文楷体" w:eastAsia="华文楷体" w:cs="MS Mincho"/>
          <w:sz w:val="18"/>
          <w:szCs w:val="18"/>
          <w:highlight w:val="none"/>
          <w:lang w:eastAsia="zh-CN"/>
        </w:rPr>
        <w:t>的合同及其他</w:t>
      </w:r>
      <w:r>
        <w:rPr>
          <w:rFonts w:hint="eastAsia" w:ascii="华文楷体" w:hAnsi="华文楷体" w:eastAsia="华文楷体" w:cs="宋体"/>
          <w:sz w:val="18"/>
          <w:szCs w:val="18"/>
          <w:highlight w:val="none"/>
          <w:lang w:eastAsia="zh-CN"/>
        </w:rPr>
        <w:t>协议</w:t>
      </w:r>
      <w:r>
        <w:rPr>
          <w:rFonts w:hint="eastAsia" w:ascii="华文楷体" w:hAnsi="华文楷体" w:eastAsia="华文楷体" w:cs="MS Mincho"/>
          <w:sz w:val="18"/>
          <w:szCs w:val="18"/>
          <w:highlight w:val="none"/>
          <w:lang w:eastAsia="zh-CN"/>
        </w:rPr>
        <w:t>要求乙方承担</w:t>
      </w:r>
      <w:r>
        <w:rPr>
          <w:rFonts w:hint="eastAsia" w:ascii="华文楷体" w:hAnsi="华文楷体" w:eastAsia="华文楷体" w:cs="宋体"/>
          <w:sz w:val="18"/>
          <w:szCs w:val="18"/>
          <w:highlight w:val="none"/>
          <w:lang w:eastAsia="zh-CN"/>
        </w:rPr>
        <w:t>违约责</w:t>
      </w:r>
      <w:r>
        <w:rPr>
          <w:rFonts w:hint="eastAsia" w:ascii="华文楷体" w:hAnsi="华文楷体" w:eastAsia="华文楷体" w:cs="MS Mincho"/>
          <w:sz w:val="18"/>
          <w:szCs w:val="18"/>
          <w:highlight w:val="none"/>
          <w:lang w:eastAsia="zh-CN"/>
        </w:rPr>
        <w:t>任，</w:t>
      </w:r>
      <w:r>
        <w:rPr>
          <w:rFonts w:hint="eastAsia" w:ascii="华文楷体" w:hAnsi="华文楷体" w:eastAsia="华文楷体" w:cs="宋体"/>
          <w:sz w:val="18"/>
          <w:szCs w:val="18"/>
          <w:highlight w:val="none"/>
          <w:lang w:eastAsia="zh-CN"/>
        </w:rPr>
        <w:t>还</w:t>
      </w:r>
      <w:r>
        <w:rPr>
          <w:rFonts w:hint="eastAsia" w:ascii="华文楷体" w:hAnsi="华文楷体" w:eastAsia="华文楷体" w:cs="MS Mincho"/>
          <w:sz w:val="18"/>
          <w:szCs w:val="18"/>
          <w:highlight w:val="none"/>
          <w:lang w:eastAsia="zh-CN"/>
        </w:rPr>
        <w:t>有</w:t>
      </w:r>
      <w:r>
        <w:rPr>
          <w:rFonts w:hint="eastAsia" w:ascii="华文楷体" w:hAnsi="华文楷体" w:eastAsia="华文楷体" w:cs="宋体"/>
          <w:sz w:val="18"/>
          <w:szCs w:val="18"/>
          <w:highlight w:val="none"/>
          <w:lang w:eastAsia="zh-CN"/>
        </w:rPr>
        <w:t>权视</w:t>
      </w:r>
      <w:r>
        <w:rPr>
          <w:rFonts w:hint="eastAsia" w:ascii="华文楷体" w:hAnsi="华文楷体" w:eastAsia="华文楷体" w:cs="MS Mincho"/>
          <w:sz w:val="18"/>
          <w:szCs w:val="18"/>
          <w:highlight w:val="none"/>
          <w:lang w:eastAsia="zh-CN"/>
        </w:rPr>
        <w:t>具体情况</w:t>
      </w:r>
      <w:r>
        <w:rPr>
          <w:rFonts w:hint="eastAsia" w:ascii="华文楷体" w:hAnsi="华文楷体" w:eastAsia="华文楷体" w:cs="宋体"/>
          <w:sz w:val="18"/>
          <w:szCs w:val="18"/>
          <w:highlight w:val="none"/>
          <w:lang w:eastAsia="zh-CN"/>
        </w:rPr>
        <w:t>单</w:t>
      </w:r>
      <w:r>
        <w:rPr>
          <w:rFonts w:hint="eastAsia" w:ascii="华文楷体" w:hAnsi="华文楷体" w:eastAsia="华文楷体" w:cs="MS Mincho"/>
          <w:sz w:val="18"/>
          <w:szCs w:val="18"/>
          <w:highlight w:val="none"/>
          <w:lang w:eastAsia="zh-CN"/>
        </w:rPr>
        <w:t>独或同</w:t>
      </w:r>
      <w:r>
        <w:rPr>
          <w:rFonts w:hint="eastAsia" w:ascii="华文楷体" w:hAnsi="华文楷体" w:eastAsia="华文楷体" w:cs="宋体"/>
          <w:sz w:val="18"/>
          <w:szCs w:val="18"/>
          <w:highlight w:val="none"/>
          <w:lang w:eastAsia="zh-CN"/>
        </w:rPr>
        <w:t>时对</w:t>
      </w:r>
      <w:r>
        <w:rPr>
          <w:rFonts w:hint="eastAsia" w:ascii="华文楷体" w:hAnsi="华文楷体" w:eastAsia="华文楷体" w:cs="MS Mincho"/>
          <w:sz w:val="18"/>
          <w:szCs w:val="18"/>
          <w:highlight w:val="none"/>
          <w:lang w:eastAsia="zh-CN"/>
        </w:rPr>
        <w:t>乙方</w:t>
      </w:r>
      <w:r>
        <w:rPr>
          <w:rFonts w:hint="eastAsia" w:ascii="华文楷体" w:hAnsi="华文楷体" w:eastAsia="华文楷体" w:cs="宋体"/>
          <w:sz w:val="18"/>
          <w:szCs w:val="18"/>
          <w:highlight w:val="none"/>
          <w:lang w:eastAsia="zh-CN"/>
        </w:rPr>
        <w:t>进</w:t>
      </w:r>
      <w:r>
        <w:rPr>
          <w:rFonts w:hint="eastAsia" w:ascii="华文楷体" w:hAnsi="华文楷体" w:eastAsia="华文楷体" w:cs="MS Mincho"/>
          <w:sz w:val="18"/>
          <w:szCs w:val="18"/>
          <w:highlight w:val="none"/>
          <w:lang w:eastAsia="zh-CN"/>
        </w:rPr>
        <w:t>行以下</w:t>
      </w:r>
      <w:r>
        <w:rPr>
          <w:rFonts w:hint="eastAsia" w:ascii="华文楷体" w:hAnsi="华文楷体" w:eastAsia="华文楷体" w:cs="宋体"/>
          <w:sz w:val="18"/>
          <w:szCs w:val="18"/>
          <w:highlight w:val="none"/>
          <w:lang w:eastAsia="zh-CN"/>
        </w:rPr>
        <w:t>违约措施处理</w:t>
      </w:r>
      <w:r>
        <w:rPr>
          <w:rFonts w:hint="eastAsia" w:ascii="华文楷体" w:hAnsi="华文楷体" w:eastAsia="华文楷体" w:cs="MS Mincho"/>
          <w:sz w:val="18"/>
          <w:szCs w:val="18"/>
          <w:highlight w:val="none"/>
          <w:lang w:eastAsia="zh-CN"/>
        </w:rPr>
        <w:t>。</w:t>
      </w:r>
    </w:p>
    <w:p w14:paraId="3FCCD211">
      <w:pPr>
        <w:rPr>
          <w:highlight w:val="none"/>
          <w:lang w:eastAsia="zh-CN"/>
        </w:rPr>
      </w:pPr>
    </w:p>
    <w:p w14:paraId="6A86C881">
      <w:pPr>
        <w:rPr>
          <w:highlight w:val="none"/>
          <w:lang w:eastAsia="zh-CN"/>
        </w:rPr>
      </w:pPr>
    </w:p>
    <w:tbl>
      <w:tblPr>
        <w:tblStyle w:val="10"/>
        <w:tblpPr w:leftFromText="180" w:rightFromText="180" w:vertAnchor="page" w:horzAnchor="page" w:tblpX="812" w:tblpY="1910"/>
        <w:tblW w:w="1062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97"/>
        <w:gridCol w:w="1859"/>
        <w:gridCol w:w="1659"/>
        <w:gridCol w:w="5812"/>
      </w:tblGrid>
      <w:tr w14:paraId="75ED40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1297" w:type="dxa"/>
            <w:tcBorders>
              <w:top w:val="single" w:color="auto" w:sz="4" w:space="0"/>
              <w:left w:val="single" w:color="auto" w:sz="4" w:space="0"/>
              <w:bottom w:val="single" w:color="auto" w:sz="4" w:space="0"/>
              <w:right w:val="single" w:color="000000" w:sz="4" w:space="0"/>
            </w:tcBorders>
            <w:noWrap/>
            <w:vAlign w:val="center"/>
          </w:tcPr>
          <w:p w14:paraId="2B73394C">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问题来源</w:t>
            </w:r>
          </w:p>
        </w:tc>
        <w:tc>
          <w:tcPr>
            <w:tcW w:w="1859" w:type="dxa"/>
            <w:tcBorders>
              <w:top w:val="single" w:color="auto" w:sz="4" w:space="0"/>
              <w:left w:val="single" w:color="000000" w:sz="4" w:space="0"/>
              <w:bottom w:val="single" w:color="auto" w:sz="4" w:space="0"/>
              <w:right w:val="single" w:color="000000" w:sz="4" w:space="0"/>
            </w:tcBorders>
            <w:noWrap/>
            <w:vAlign w:val="center"/>
          </w:tcPr>
          <w:p w14:paraId="4365E21C">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定义</w:t>
            </w:r>
          </w:p>
        </w:tc>
        <w:tc>
          <w:tcPr>
            <w:tcW w:w="1659" w:type="dxa"/>
            <w:tcBorders>
              <w:top w:val="single" w:color="auto" w:sz="4" w:space="0"/>
              <w:left w:val="single" w:color="000000" w:sz="4" w:space="0"/>
              <w:bottom w:val="single" w:color="auto" w:sz="4" w:space="0"/>
              <w:right w:val="single" w:color="000000" w:sz="4" w:space="0"/>
            </w:tcBorders>
            <w:vAlign w:val="center"/>
          </w:tcPr>
          <w:p w14:paraId="24650593">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项目分类</w:t>
            </w:r>
          </w:p>
        </w:tc>
        <w:tc>
          <w:tcPr>
            <w:tcW w:w="5812" w:type="dxa"/>
            <w:tcBorders>
              <w:top w:val="single" w:color="auto" w:sz="4" w:space="0"/>
              <w:left w:val="single" w:color="000000" w:sz="4" w:space="0"/>
              <w:bottom w:val="single" w:color="auto" w:sz="4" w:space="0"/>
              <w:right w:val="single" w:color="auto" w:sz="4" w:space="0"/>
            </w:tcBorders>
            <w:vAlign w:val="center"/>
          </w:tcPr>
          <w:p w14:paraId="19C55606">
            <w:pPr>
              <w:jc w:val="cente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违约措施处理方式（可择一或择多适用）</w:t>
            </w:r>
          </w:p>
        </w:tc>
      </w:tr>
      <w:tr w14:paraId="3A4012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1297" w:type="dxa"/>
            <w:vMerge w:val="restart"/>
            <w:tcBorders>
              <w:top w:val="single" w:color="auto" w:sz="4" w:space="0"/>
              <w:left w:val="single" w:color="auto" w:sz="4" w:space="0"/>
              <w:bottom w:val="single" w:color="auto" w:sz="4" w:space="0"/>
              <w:right w:val="single" w:color="auto" w:sz="4" w:space="0"/>
            </w:tcBorders>
            <w:noWrap/>
            <w:vAlign w:val="center"/>
          </w:tcPr>
          <w:p w14:paraId="310EA1E1">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入库验收</w:t>
            </w:r>
          </w:p>
        </w:tc>
        <w:tc>
          <w:tcPr>
            <w:tcW w:w="1859" w:type="dxa"/>
            <w:vMerge w:val="restart"/>
            <w:tcBorders>
              <w:top w:val="single" w:color="auto" w:sz="4" w:space="0"/>
              <w:left w:val="single" w:color="auto" w:sz="4" w:space="0"/>
              <w:bottom w:val="single" w:color="auto" w:sz="4" w:space="0"/>
              <w:right w:val="single" w:color="auto" w:sz="4" w:space="0"/>
            </w:tcBorders>
            <w:vAlign w:val="center"/>
          </w:tcPr>
          <w:p w14:paraId="2B78401E">
            <w:pPr>
              <w:jc w:val="cente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定义：乙方送货到甲方，由甲方收货人员质检时发现的问题，视为入库验收不良</w:t>
            </w:r>
          </w:p>
        </w:tc>
        <w:tc>
          <w:tcPr>
            <w:tcW w:w="1659" w:type="dxa"/>
            <w:tcBorders>
              <w:top w:val="single" w:color="auto" w:sz="4" w:space="0"/>
              <w:left w:val="single" w:color="auto" w:sz="4" w:space="0"/>
              <w:bottom w:val="nil"/>
              <w:right w:val="single" w:color="000000" w:sz="4" w:space="0"/>
            </w:tcBorders>
            <w:vAlign w:val="center"/>
          </w:tcPr>
          <w:p w14:paraId="2D8622D8">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外观&amp;尺寸不符</w:t>
            </w:r>
          </w:p>
        </w:tc>
        <w:tc>
          <w:tcPr>
            <w:tcW w:w="5812" w:type="dxa"/>
            <w:tcBorders>
              <w:top w:val="single" w:color="auto" w:sz="4" w:space="0"/>
              <w:left w:val="single" w:color="000000" w:sz="4" w:space="0"/>
              <w:bottom w:val="nil"/>
              <w:right w:val="single" w:color="auto" w:sz="4" w:space="0"/>
            </w:tcBorders>
            <w:vAlign w:val="center"/>
          </w:tcPr>
          <w:p w14:paraId="47AFE482">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不良率10%以内：乙方对不良品换货或修复，合格品收货，不作处理。</w:t>
            </w:r>
          </w:p>
          <w:p w14:paraId="57D18E10">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不良率10%以上：乙方对不良品换货或修复，并处以300元/次的违约金。</w:t>
            </w:r>
          </w:p>
        </w:tc>
      </w:tr>
      <w:tr w14:paraId="21630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1F30889F">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auto" w:sz="4" w:space="0"/>
            </w:tcBorders>
            <w:vAlign w:val="center"/>
          </w:tcPr>
          <w:p w14:paraId="145E6134">
            <w:pPr>
              <w:rPr>
                <w:rFonts w:ascii="华文楷体" w:hAnsi="华文楷体" w:eastAsia="华文楷体" w:cs="华文楷体"/>
                <w:sz w:val="18"/>
                <w:szCs w:val="18"/>
                <w:highlight w:val="none"/>
                <w:lang w:eastAsia="zh-CN" w:bidi="ar"/>
              </w:rPr>
            </w:pPr>
          </w:p>
        </w:tc>
        <w:tc>
          <w:tcPr>
            <w:tcW w:w="1659" w:type="dxa"/>
            <w:tcBorders>
              <w:top w:val="single" w:color="000000" w:sz="4" w:space="0"/>
              <w:left w:val="single" w:color="auto" w:sz="4" w:space="0"/>
              <w:bottom w:val="nil"/>
              <w:right w:val="single" w:color="000000" w:sz="4" w:space="0"/>
            </w:tcBorders>
            <w:vAlign w:val="center"/>
          </w:tcPr>
          <w:p w14:paraId="625932E2">
            <w:pPr>
              <w:jc w:val="cente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外包装严重破损、变形、湿损</w:t>
            </w:r>
          </w:p>
        </w:tc>
        <w:tc>
          <w:tcPr>
            <w:tcW w:w="5812" w:type="dxa"/>
            <w:tcBorders>
              <w:top w:val="single" w:color="000000" w:sz="4" w:space="0"/>
              <w:left w:val="single" w:color="000000" w:sz="4" w:space="0"/>
              <w:bottom w:val="nil"/>
              <w:right w:val="single" w:color="auto" w:sz="4" w:space="0"/>
            </w:tcBorders>
            <w:vAlign w:val="center"/>
          </w:tcPr>
          <w:p w14:paraId="6C78909C">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产品质量未受影响的前提下：</w:t>
            </w:r>
          </w:p>
          <w:p w14:paraId="64ED2949">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受损纸箱≤20个：乙方补寄全新纸箱，不作处理；</w:t>
            </w:r>
          </w:p>
          <w:p w14:paraId="68A14A06">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受损纸箱＞20个：乙方3天内安排上门更换，否则退货处理。</w:t>
            </w:r>
          </w:p>
        </w:tc>
      </w:tr>
      <w:tr w14:paraId="32514F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7228889A">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auto" w:sz="4" w:space="0"/>
            </w:tcBorders>
            <w:vAlign w:val="center"/>
          </w:tcPr>
          <w:p w14:paraId="6E78BDB2">
            <w:pPr>
              <w:rPr>
                <w:rFonts w:ascii="华文楷体" w:hAnsi="华文楷体" w:eastAsia="华文楷体" w:cs="华文楷体"/>
                <w:sz w:val="18"/>
                <w:szCs w:val="18"/>
                <w:highlight w:val="none"/>
                <w:lang w:eastAsia="zh-CN" w:bidi="ar"/>
              </w:rPr>
            </w:pPr>
          </w:p>
        </w:tc>
        <w:tc>
          <w:tcPr>
            <w:tcW w:w="1659" w:type="dxa"/>
            <w:tcBorders>
              <w:top w:val="single" w:color="000000" w:sz="4" w:space="0"/>
              <w:left w:val="single" w:color="auto" w:sz="4" w:space="0"/>
              <w:bottom w:val="single" w:color="auto" w:sz="4" w:space="0"/>
              <w:right w:val="single" w:color="000000" w:sz="4" w:space="0"/>
            </w:tcBorders>
            <w:vAlign w:val="center"/>
          </w:tcPr>
          <w:p w14:paraId="76B3D200">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包装数量不足</w:t>
            </w:r>
          </w:p>
        </w:tc>
        <w:tc>
          <w:tcPr>
            <w:tcW w:w="5812" w:type="dxa"/>
            <w:tcBorders>
              <w:top w:val="single" w:color="000000" w:sz="4" w:space="0"/>
              <w:left w:val="single" w:color="000000" w:sz="4" w:space="0"/>
              <w:bottom w:val="single" w:color="auto" w:sz="4" w:space="0"/>
              <w:right w:val="single" w:color="auto" w:sz="4" w:space="0"/>
            </w:tcBorders>
            <w:vAlign w:val="center"/>
          </w:tcPr>
          <w:p w14:paraId="2E37B4F7">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开箱后如出现少数或缺少配件，按实际数量入库，由乙方补齐，并向甲方支付200元/次的违约金。</w:t>
            </w:r>
          </w:p>
        </w:tc>
      </w:tr>
      <w:tr w14:paraId="6E341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4"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040B61BA">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auto" w:sz="4" w:space="0"/>
            </w:tcBorders>
            <w:vAlign w:val="center"/>
          </w:tcPr>
          <w:p w14:paraId="2D95FD2B">
            <w:pPr>
              <w:rPr>
                <w:rFonts w:ascii="华文楷体" w:hAnsi="华文楷体" w:eastAsia="华文楷体" w:cs="华文楷体"/>
                <w:sz w:val="18"/>
                <w:szCs w:val="18"/>
                <w:highlight w:val="none"/>
                <w:lang w:eastAsia="zh-CN" w:bidi="ar"/>
              </w:rPr>
            </w:pPr>
          </w:p>
        </w:tc>
        <w:tc>
          <w:tcPr>
            <w:tcW w:w="1659" w:type="dxa"/>
            <w:tcBorders>
              <w:top w:val="single" w:color="auto" w:sz="4" w:space="0"/>
              <w:left w:val="single" w:color="auto" w:sz="4" w:space="0"/>
              <w:bottom w:val="nil"/>
              <w:right w:val="single" w:color="000000" w:sz="4" w:space="0"/>
            </w:tcBorders>
            <w:vAlign w:val="center"/>
          </w:tcPr>
          <w:p w14:paraId="440C05C2">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功能不良</w:t>
            </w:r>
          </w:p>
        </w:tc>
        <w:tc>
          <w:tcPr>
            <w:tcW w:w="5812" w:type="dxa"/>
            <w:tcBorders>
              <w:top w:val="single" w:color="auto" w:sz="4" w:space="0"/>
              <w:left w:val="single" w:color="000000" w:sz="4" w:space="0"/>
              <w:bottom w:val="nil"/>
              <w:right w:val="single" w:color="auto" w:sz="4" w:space="0"/>
            </w:tcBorders>
            <w:vAlign w:val="center"/>
          </w:tcPr>
          <w:p w14:paraId="2928E98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不良率10%以内：按实际不良上门调试或换货，不作处理。</w:t>
            </w:r>
          </w:p>
          <w:p w14:paraId="321D2C3B">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不良率10%以上：拒收，由乙方安排换货，并向甲方支付500元/次违约金。</w:t>
            </w:r>
          </w:p>
        </w:tc>
      </w:tr>
      <w:tr w14:paraId="06A93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54DD3AC9">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auto" w:sz="4" w:space="0"/>
            </w:tcBorders>
            <w:vAlign w:val="center"/>
          </w:tcPr>
          <w:p w14:paraId="262E3E41">
            <w:pPr>
              <w:rPr>
                <w:rFonts w:ascii="华文楷体" w:hAnsi="华文楷体" w:eastAsia="华文楷体" w:cs="华文楷体"/>
                <w:sz w:val="18"/>
                <w:szCs w:val="18"/>
                <w:highlight w:val="none"/>
                <w:lang w:eastAsia="zh-CN" w:bidi="ar"/>
              </w:rPr>
            </w:pPr>
          </w:p>
        </w:tc>
        <w:tc>
          <w:tcPr>
            <w:tcW w:w="1659" w:type="dxa"/>
            <w:tcBorders>
              <w:top w:val="single" w:color="000000" w:sz="4" w:space="0"/>
              <w:left w:val="single" w:color="auto" w:sz="4" w:space="0"/>
              <w:bottom w:val="nil"/>
              <w:right w:val="single" w:color="000000" w:sz="4" w:space="0"/>
            </w:tcBorders>
            <w:vAlign w:val="center"/>
          </w:tcPr>
          <w:p w14:paraId="5644F034">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规格不符</w:t>
            </w:r>
          </w:p>
        </w:tc>
        <w:tc>
          <w:tcPr>
            <w:tcW w:w="5812" w:type="dxa"/>
            <w:tcBorders>
              <w:top w:val="single" w:color="000000" w:sz="4" w:space="0"/>
              <w:left w:val="single" w:color="000000" w:sz="4" w:space="0"/>
              <w:bottom w:val="nil"/>
              <w:right w:val="single" w:color="auto" w:sz="4" w:space="0"/>
            </w:tcBorders>
            <w:vAlign w:val="center"/>
          </w:tcPr>
          <w:p w14:paraId="2F6AE68E">
            <w:pP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color w:val="auto"/>
                <w:kern w:val="0"/>
                <w:sz w:val="18"/>
                <w:szCs w:val="18"/>
                <w:highlight w:val="none"/>
                <w:lang w:bidi="ar"/>
              </w:rPr>
              <w:t>拒收</w:t>
            </w:r>
            <w:r>
              <w:rPr>
                <w:rFonts w:hint="eastAsia" w:ascii="华文楷体" w:hAnsi="华文楷体" w:eastAsia="华文楷体" w:cs="华文楷体"/>
                <w:color w:val="auto"/>
                <w:kern w:val="0"/>
                <w:sz w:val="18"/>
                <w:szCs w:val="18"/>
                <w:highlight w:val="none"/>
                <w:lang w:eastAsia="zh-CN" w:bidi="ar"/>
              </w:rPr>
              <w:t>，</w:t>
            </w:r>
            <w:r>
              <w:rPr>
                <w:rFonts w:hint="eastAsia" w:ascii="华文楷体" w:hAnsi="华文楷体" w:eastAsia="华文楷体" w:cs="华文楷体"/>
                <w:color w:val="auto"/>
                <w:kern w:val="0"/>
                <w:sz w:val="18"/>
                <w:szCs w:val="18"/>
                <w:highlight w:val="none"/>
                <w:lang w:val="en-US" w:eastAsia="zh-CN" w:bidi="ar"/>
              </w:rPr>
              <w:t>作退货/换货处理，重新安排送货。</w:t>
            </w:r>
          </w:p>
        </w:tc>
      </w:tr>
      <w:tr w14:paraId="5240E8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70"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3D5ED7ED">
            <w:pPr>
              <w:rPr>
                <w:rFonts w:ascii="华文楷体" w:hAnsi="华文楷体" w:eastAsia="华文楷体" w:cs="华文楷体"/>
                <w:sz w:val="18"/>
                <w:szCs w:val="18"/>
                <w:highlight w:val="none"/>
                <w:lang w:bidi="ar"/>
              </w:rPr>
            </w:pPr>
          </w:p>
        </w:tc>
        <w:tc>
          <w:tcPr>
            <w:tcW w:w="1859" w:type="dxa"/>
            <w:vMerge w:val="continue"/>
            <w:tcBorders>
              <w:top w:val="single" w:color="auto" w:sz="4" w:space="0"/>
              <w:left w:val="single" w:color="000000" w:sz="4" w:space="0"/>
              <w:bottom w:val="single" w:color="auto" w:sz="4" w:space="0"/>
              <w:right w:val="single" w:color="auto" w:sz="4" w:space="0"/>
            </w:tcBorders>
            <w:vAlign w:val="center"/>
          </w:tcPr>
          <w:p w14:paraId="7DBA0B42">
            <w:pPr>
              <w:rPr>
                <w:rFonts w:ascii="华文楷体" w:hAnsi="华文楷体" w:eastAsia="华文楷体" w:cs="华文楷体"/>
                <w:sz w:val="18"/>
                <w:szCs w:val="18"/>
                <w:highlight w:val="none"/>
                <w:lang w:bidi="ar"/>
              </w:rPr>
            </w:pPr>
          </w:p>
        </w:tc>
        <w:tc>
          <w:tcPr>
            <w:tcW w:w="1659" w:type="dxa"/>
            <w:tcBorders>
              <w:top w:val="single" w:color="000000" w:sz="4" w:space="0"/>
              <w:left w:val="single" w:color="auto" w:sz="4" w:space="0"/>
              <w:bottom w:val="single" w:color="000000" w:sz="4" w:space="0"/>
              <w:right w:val="single" w:color="000000" w:sz="4" w:space="0"/>
            </w:tcBorders>
            <w:noWrap/>
            <w:vAlign w:val="center"/>
          </w:tcPr>
          <w:p w14:paraId="5E3E753E">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重量不足</w:t>
            </w:r>
          </w:p>
        </w:tc>
        <w:tc>
          <w:tcPr>
            <w:tcW w:w="5812" w:type="dxa"/>
            <w:tcBorders>
              <w:top w:val="single" w:color="000000" w:sz="4" w:space="0"/>
              <w:left w:val="single" w:color="000000" w:sz="4" w:space="0"/>
              <w:bottom w:val="single" w:color="000000" w:sz="4" w:space="0"/>
              <w:right w:val="single" w:color="auto" w:sz="4" w:space="0"/>
            </w:tcBorders>
            <w:vAlign w:val="center"/>
          </w:tcPr>
          <w:p w14:paraId="276E72EC">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不影响使用的前提下：</w:t>
            </w:r>
          </w:p>
          <w:p w14:paraId="71845496">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附条件收货，乙方需向甲方支付实际不良数量货值的5%作为违约金。</w:t>
            </w:r>
          </w:p>
          <w:p w14:paraId="17DB387D">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影响业务使用：拒收，由乙方安排换货。</w:t>
            </w:r>
          </w:p>
        </w:tc>
      </w:tr>
      <w:tr w14:paraId="0DACE6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12" w:hRule="atLeast"/>
        </w:trPr>
        <w:tc>
          <w:tcPr>
            <w:tcW w:w="1297" w:type="dxa"/>
            <w:vMerge w:val="restart"/>
            <w:tcBorders>
              <w:top w:val="single" w:color="auto" w:sz="4" w:space="0"/>
              <w:left w:val="single" w:color="auto" w:sz="4" w:space="0"/>
              <w:bottom w:val="single" w:color="auto" w:sz="4" w:space="0"/>
              <w:right w:val="single" w:color="000000" w:sz="4" w:space="0"/>
            </w:tcBorders>
            <w:noWrap/>
            <w:vAlign w:val="center"/>
          </w:tcPr>
          <w:p w14:paraId="0524AFCF">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使用部门投诉</w:t>
            </w:r>
          </w:p>
        </w:tc>
        <w:tc>
          <w:tcPr>
            <w:tcW w:w="1859" w:type="dxa"/>
            <w:vMerge w:val="restart"/>
            <w:tcBorders>
              <w:top w:val="single" w:color="auto" w:sz="4" w:space="0"/>
              <w:left w:val="single" w:color="000000" w:sz="4" w:space="0"/>
              <w:bottom w:val="single" w:color="auto" w:sz="4" w:space="0"/>
              <w:right w:val="single" w:color="000000" w:sz="4" w:space="0"/>
            </w:tcBorders>
            <w:vAlign w:val="center"/>
          </w:tcPr>
          <w:p w14:paraId="3B6B7C48">
            <w:pPr>
              <w:jc w:val="cente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是指甲方验收后，流入到使用环节发现的质量问题</w:t>
            </w:r>
          </w:p>
        </w:tc>
        <w:tc>
          <w:tcPr>
            <w:tcW w:w="1659" w:type="dxa"/>
            <w:tcBorders>
              <w:top w:val="nil"/>
              <w:left w:val="single" w:color="000000" w:sz="4" w:space="0"/>
              <w:bottom w:val="single" w:color="000000" w:sz="4" w:space="0"/>
              <w:right w:val="single" w:color="000000" w:sz="4" w:space="0"/>
            </w:tcBorders>
            <w:noWrap/>
            <w:vAlign w:val="center"/>
          </w:tcPr>
          <w:p w14:paraId="64B21788">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A类投诉</w:t>
            </w:r>
          </w:p>
        </w:tc>
        <w:tc>
          <w:tcPr>
            <w:tcW w:w="5812" w:type="dxa"/>
            <w:tcBorders>
              <w:top w:val="single" w:color="000000" w:sz="8" w:space="0"/>
              <w:left w:val="single" w:color="000000" w:sz="4" w:space="0"/>
              <w:bottom w:val="single" w:color="000000" w:sz="4" w:space="0"/>
              <w:right w:val="single" w:color="auto" w:sz="4" w:space="0"/>
            </w:tcBorders>
            <w:vAlign w:val="center"/>
          </w:tcPr>
          <w:p w14:paraId="1A0D31CC">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以下情形，乙方需向甲方支付该批交付订单金额的20%作为违约金，并承担甲方所有损失：</w:t>
            </w:r>
          </w:p>
          <w:p w14:paraId="36AF13E5">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1、导致甲方业务停滞或系统混乱的；</w:t>
            </w:r>
          </w:p>
          <w:p w14:paraId="2FDD5AB5">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2、出现重大客户投诉并索赔的；</w:t>
            </w:r>
          </w:p>
          <w:p w14:paraId="6E1EA95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3、弄虚作假，使用假冒品牌的；</w:t>
            </w:r>
          </w:p>
          <w:p w14:paraId="0B2CF813">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4、造成人员伤亡或重大财产损失的。</w:t>
            </w:r>
          </w:p>
        </w:tc>
      </w:tr>
      <w:tr w14:paraId="72E979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72"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520E37EA">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000000" w:sz="4" w:space="0"/>
            </w:tcBorders>
            <w:vAlign w:val="center"/>
          </w:tcPr>
          <w:p w14:paraId="0D241778">
            <w:pPr>
              <w:rPr>
                <w:rFonts w:ascii="华文楷体" w:hAnsi="华文楷体" w:eastAsia="华文楷体" w:cs="华文楷体"/>
                <w:sz w:val="18"/>
                <w:szCs w:val="18"/>
                <w:highlight w:val="none"/>
                <w:lang w:eastAsia="zh-CN" w:bidi="ar"/>
              </w:rPr>
            </w:pPr>
          </w:p>
        </w:tc>
        <w:tc>
          <w:tcPr>
            <w:tcW w:w="1659" w:type="dxa"/>
            <w:tcBorders>
              <w:top w:val="single" w:color="000000" w:sz="4" w:space="0"/>
              <w:left w:val="single" w:color="000000" w:sz="4" w:space="0"/>
              <w:bottom w:val="single" w:color="000000" w:sz="4" w:space="0"/>
              <w:right w:val="single" w:color="000000" w:sz="4" w:space="0"/>
            </w:tcBorders>
            <w:noWrap/>
            <w:vAlign w:val="center"/>
          </w:tcPr>
          <w:p w14:paraId="0C4BD319">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B类投诉</w:t>
            </w:r>
          </w:p>
        </w:tc>
        <w:tc>
          <w:tcPr>
            <w:tcW w:w="5812" w:type="dxa"/>
            <w:tcBorders>
              <w:top w:val="single" w:color="000000" w:sz="4" w:space="0"/>
              <w:left w:val="single" w:color="000000" w:sz="4" w:space="0"/>
              <w:bottom w:val="single" w:color="000000" w:sz="4" w:space="0"/>
              <w:right w:val="single" w:color="auto" w:sz="4" w:space="0"/>
            </w:tcBorders>
            <w:vAlign w:val="center"/>
          </w:tcPr>
          <w:p w14:paraId="7382092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以下情形，乙方需向甲方支付该批交付订单金额的10%作为违约金，并承担甲方所有损失：</w:t>
            </w:r>
          </w:p>
          <w:p w14:paraId="46E4C662">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外观类不良，批不良率≥10%，但不影响实际使用的；</w:t>
            </w:r>
          </w:p>
          <w:p w14:paraId="2153C3E6">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功能性不良，批不良率≥6%，但未出现导致甲方业务停滞或系统混乱的严重后果。</w:t>
            </w:r>
          </w:p>
        </w:tc>
      </w:tr>
      <w:tr w14:paraId="5F84B2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5" w:hRule="atLeast"/>
        </w:trPr>
        <w:tc>
          <w:tcPr>
            <w:tcW w:w="1297" w:type="dxa"/>
            <w:vMerge w:val="continue"/>
            <w:tcBorders>
              <w:top w:val="single" w:color="auto" w:sz="4" w:space="0"/>
              <w:left w:val="single" w:color="auto" w:sz="4" w:space="0"/>
              <w:bottom w:val="single" w:color="auto" w:sz="4" w:space="0"/>
              <w:right w:val="single" w:color="000000" w:sz="4" w:space="0"/>
            </w:tcBorders>
            <w:vAlign w:val="center"/>
          </w:tcPr>
          <w:p w14:paraId="4CBAFCA1">
            <w:pPr>
              <w:rPr>
                <w:rFonts w:ascii="华文楷体" w:hAnsi="华文楷体" w:eastAsia="华文楷体" w:cs="华文楷体"/>
                <w:sz w:val="18"/>
                <w:szCs w:val="18"/>
                <w:highlight w:val="none"/>
                <w:lang w:eastAsia="zh-CN" w:bidi="ar"/>
              </w:rPr>
            </w:pPr>
          </w:p>
        </w:tc>
        <w:tc>
          <w:tcPr>
            <w:tcW w:w="1859" w:type="dxa"/>
            <w:vMerge w:val="continue"/>
            <w:tcBorders>
              <w:top w:val="single" w:color="auto" w:sz="4" w:space="0"/>
              <w:left w:val="single" w:color="000000" w:sz="4" w:space="0"/>
              <w:bottom w:val="single" w:color="auto" w:sz="4" w:space="0"/>
              <w:right w:val="single" w:color="000000" w:sz="4" w:space="0"/>
            </w:tcBorders>
            <w:vAlign w:val="center"/>
          </w:tcPr>
          <w:p w14:paraId="15B4AC48">
            <w:pPr>
              <w:rPr>
                <w:rFonts w:ascii="华文楷体" w:hAnsi="华文楷体" w:eastAsia="华文楷体" w:cs="华文楷体"/>
                <w:sz w:val="18"/>
                <w:szCs w:val="18"/>
                <w:highlight w:val="none"/>
                <w:lang w:eastAsia="zh-CN" w:bidi="ar"/>
              </w:rPr>
            </w:pPr>
          </w:p>
        </w:tc>
        <w:tc>
          <w:tcPr>
            <w:tcW w:w="1659" w:type="dxa"/>
            <w:tcBorders>
              <w:top w:val="single" w:color="000000" w:sz="4" w:space="0"/>
              <w:left w:val="single" w:color="000000" w:sz="4" w:space="0"/>
              <w:bottom w:val="single" w:color="auto" w:sz="4" w:space="0"/>
              <w:right w:val="single" w:color="000000" w:sz="4" w:space="0"/>
            </w:tcBorders>
            <w:noWrap/>
            <w:vAlign w:val="center"/>
          </w:tcPr>
          <w:p w14:paraId="42CD0EE9">
            <w:pPr>
              <w:jc w:val="center"/>
              <w:textAlignment w:val="center"/>
              <w:rPr>
                <w:rFonts w:ascii="华文楷体" w:hAnsi="华文楷体" w:eastAsia="华文楷体" w:cs="华文楷体"/>
                <w:sz w:val="18"/>
                <w:szCs w:val="18"/>
                <w:highlight w:val="none"/>
                <w:lang w:bidi="ar"/>
              </w:rPr>
            </w:pPr>
            <w:r>
              <w:rPr>
                <w:rFonts w:hint="eastAsia" w:ascii="华文楷体" w:hAnsi="华文楷体" w:eastAsia="华文楷体" w:cs="华文楷体"/>
                <w:sz w:val="18"/>
                <w:szCs w:val="18"/>
                <w:highlight w:val="none"/>
                <w:lang w:bidi="ar"/>
              </w:rPr>
              <w:t>C类投诉</w:t>
            </w:r>
          </w:p>
        </w:tc>
        <w:tc>
          <w:tcPr>
            <w:tcW w:w="5812" w:type="dxa"/>
            <w:tcBorders>
              <w:top w:val="single" w:color="000000" w:sz="4" w:space="0"/>
              <w:left w:val="single" w:color="000000" w:sz="4" w:space="0"/>
              <w:bottom w:val="single" w:color="auto" w:sz="4" w:space="0"/>
              <w:right w:val="single" w:color="auto" w:sz="4" w:space="0"/>
            </w:tcBorders>
            <w:vAlign w:val="center"/>
          </w:tcPr>
          <w:p w14:paraId="6C88085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以下情形，由乙方进行换货处理：</w:t>
            </w:r>
          </w:p>
          <w:p w14:paraId="004EC63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外观、尺寸、功能类不良，超出AQL允收值的；</w:t>
            </w:r>
          </w:p>
          <w:p w14:paraId="41AF5B3F">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条码类不良，不良数量不超50份的；</w:t>
            </w:r>
          </w:p>
          <w:p w14:paraId="16510DFA">
            <w:pPr>
              <w:textAlignment w:val="center"/>
              <w:rPr>
                <w:rFonts w:ascii="华文楷体" w:hAnsi="华文楷体" w:eastAsia="华文楷体" w:cs="华文楷体"/>
                <w:sz w:val="18"/>
                <w:szCs w:val="18"/>
                <w:highlight w:val="none"/>
                <w:lang w:eastAsia="zh-CN" w:bidi="ar"/>
              </w:rPr>
            </w:pPr>
            <w:r>
              <w:rPr>
                <w:rFonts w:hint="eastAsia" w:ascii="华文楷体" w:hAnsi="华文楷体" w:eastAsia="华文楷体" w:cs="华文楷体"/>
                <w:sz w:val="18"/>
                <w:szCs w:val="18"/>
                <w:highlight w:val="none"/>
                <w:lang w:eastAsia="zh-CN" w:bidi="ar"/>
              </w:rPr>
              <w:t>如1个月内出现2次以上问题，</w:t>
            </w:r>
            <w:r>
              <w:rPr>
                <w:rFonts w:hint="eastAsia" w:ascii="华文楷体" w:hAnsi="华文楷体" w:eastAsia="华文楷体" w:cs="华文楷体"/>
                <w:color w:val="auto"/>
                <w:kern w:val="0"/>
                <w:sz w:val="18"/>
                <w:szCs w:val="18"/>
                <w:highlight w:val="none"/>
                <w:lang w:val="en-US" w:eastAsia="zh-CN" w:bidi="ar"/>
              </w:rPr>
              <w:t>或甲方已经消耗或不退换的，乙方向甲方</w:t>
            </w:r>
            <w:r>
              <w:rPr>
                <w:rFonts w:hint="eastAsia" w:ascii="华文楷体" w:hAnsi="华文楷体" w:eastAsia="华文楷体" w:cs="华文楷体"/>
                <w:color w:val="auto"/>
                <w:kern w:val="0"/>
                <w:sz w:val="18"/>
                <w:szCs w:val="18"/>
                <w:highlight w:val="none"/>
                <w:lang w:bidi="ar"/>
              </w:rPr>
              <w:t>支付该批交付订单金额</w:t>
            </w:r>
            <w:r>
              <w:rPr>
                <w:rFonts w:hint="eastAsia" w:ascii="华文楷体" w:hAnsi="华文楷体" w:eastAsia="华文楷体" w:cs="华文楷体"/>
                <w:color w:val="auto"/>
                <w:kern w:val="0"/>
                <w:sz w:val="18"/>
                <w:szCs w:val="18"/>
                <w:highlight w:val="none"/>
                <w:lang w:val="en-US" w:eastAsia="zh-CN" w:bidi="ar"/>
              </w:rPr>
              <w:t>5</w:t>
            </w:r>
            <w:r>
              <w:rPr>
                <w:rFonts w:hint="eastAsia" w:ascii="华文楷体" w:hAnsi="华文楷体" w:eastAsia="华文楷体" w:cs="华文楷体"/>
                <w:color w:val="auto"/>
                <w:kern w:val="0"/>
                <w:sz w:val="18"/>
                <w:szCs w:val="18"/>
                <w:highlight w:val="none"/>
                <w:lang w:bidi="ar"/>
              </w:rPr>
              <w:t>%的违约金，并承担甲方所有损失</w:t>
            </w:r>
            <w:r>
              <w:rPr>
                <w:rFonts w:hint="eastAsia" w:ascii="华文楷体" w:hAnsi="华文楷体" w:eastAsia="华文楷体" w:cs="华文楷体"/>
                <w:sz w:val="18"/>
                <w:szCs w:val="18"/>
                <w:highlight w:val="none"/>
                <w:lang w:eastAsia="zh-CN" w:bidi="ar"/>
              </w:rPr>
              <w:t>。</w:t>
            </w:r>
          </w:p>
        </w:tc>
      </w:tr>
    </w:tbl>
    <w:p w14:paraId="3C145432">
      <w:pPr>
        <w:rPr>
          <w:highlight w:val="none"/>
          <w:lang w:eastAsia="zh-CN"/>
        </w:rPr>
        <w:sectPr>
          <w:footerReference r:id="rId7" w:type="default"/>
          <w:pgSz w:w="11906" w:h="16839"/>
          <w:pgMar w:top="400" w:right="449" w:bottom="512" w:left="567" w:header="0" w:footer="231" w:gutter="0"/>
          <w:cols w:space="720" w:num="1"/>
        </w:sectPr>
      </w:pPr>
    </w:p>
    <w:p w14:paraId="5E4C3B7F">
      <w:pPr>
        <w:pStyle w:val="2"/>
        <w:rPr>
          <w:rFonts w:hint="eastAsia" w:ascii="华文楷体" w:hAnsi="华文楷体" w:eastAsia="华文楷体"/>
          <w:b/>
          <w:szCs w:val="21"/>
        </w:rPr>
      </w:pPr>
    </w:p>
    <w:p w14:paraId="5776CF1F">
      <w:pPr>
        <w:pStyle w:val="2"/>
        <w:rPr>
          <w:rFonts w:hint="eastAsia"/>
          <w:b/>
          <w:szCs w:val="21"/>
          <w:lang w:eastAsia="zh-CN"/>
        </w:rPr>
      </w:pPr>
      <w:r>
        <w:rPr>
          <w:highlight w:val="none"/>
        </w:rPr>
        <w:pict>
          <v:shape id="_x0000_s1030" o:spid="_x0000_s1030" style="position:absolute;left:0pt;margin-left:34pt;margin-top:28.25pt;height:0.75pt;width:527.3pt;mso-position-horizontal-relative:page;mso-position-vertical-relative:page;z-index:251660288;mso-width-relative:page;mso-height-relative:page;" fillcolor="#000000" filled="t" stroked="f" coordsize="10545,15" o:allowincell="f" path="m0,0l10545,0,10545,14,0,14,0,0xe">
            <v:path/>
            <v:fill on="t" focussize="0,0"/>
            <v:stroke on="f"/>
            <v:imagedata o:title=""/>
            <o:lock v:ext="edit"/>
          </v:shape>
        </w:pict>
      </w:r>
      <w:r>
        <w:rPr>
          <w:rFonts w:hint="eastAsia" w:ascii="华文楷体" w:hAnsi="华文楷体" w:eastAsia="华文楷体"/>
          <w:b/>
          <w:szCs w:val="21"/>
        </w:rPr>
        <w:t>附件</w:t>
      </w:r>
      <w:r>
        <w:rPr>
          <w:rFonts w:hint="eastAsia" w:ascii="华文楷体" w:hAnsi="华文楷体" w:eastAsia="华文楷体"/>
          <w:b/>
          <w:szCs w:val="21"/>
          <w:lang w:val="en-US" w:eastAsia="zh-CN"/>
        </w:rPr>
        <w:t>三</w:t>
      </w:r>
      <w:r>
        <w:rPr>
          <w:rFonts w:hint="eastAsia" w:ascii="华文楷体" w:hAnsi="华文楷体" w:eastAsia="华文楷体"/>
          <w:b/>
          <w:szCs w:val="21"/>
        </w:rPr>
        <w:t>：</w:t>
      </w:r>
      <w:r>
        <w:rPr>
          <w:rFonts w:hint="eastAsia"/>
          <w:b/>
          <w:szCs w:val="21"/>
          <w:lang w:eastAsia="zh-CN"/>
        </w:rPr>
        <w:t>《</w:t>
      </w:r>
      <w:r>
        <w:rPr>
          <w:rFonts w:hint="eastAsia"/>
          <w:b/>
          <w:szCs w:val="21"/>
        </w:rPr>
        <w:t>产品基本信息及验收标准</w:t>
      </w:r>
      <w:r>
        <w:rPr>
          <w:rFonts w:hint="eastAsia"/>
          <w:b/>
          <w:szCs w:val="21"/>
          <w:lang w:eastAsia="zh-CN"/>
        </w:rPr>
        <w:t>》</w:t>
      </w:r>
    </w:p>
    <w:p w14:paraId="214CD522">
      <w:pPr>
        <w:pStyle w:val="2"/>
        <w:rPr>
          <w:rFonts w:hint="eastAsia"/>
          <w:b/>
          <w:bCs/>
        </w:rPr>
      </w:pPr>
      <w:r>
        <w:rPr>
          <w:b/>
          <w:bCs/>
        </w:rPr>
        <w:t>1、产品基本信息</w:t>
      </w:r>
    </w:p>
    <w:tbl>
      <w:tblPr>
        <w:tblStyle w:val="16"/>
        <w:tblW w:w="10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9"/>
        <w:gridCol w:w="1979"/>
        <w:gridCol w:w="2515"/>
        <w:gridCol w:w="553"/>
        <w:gridCol w:w="1329"/>
        <w:gridCol w:w="500"/>
        <w:gridCol w:w="1890"/>
        <w:gridCol w:w="1610"/>
      </w:tblGrid>
      <w:tr w14:paraId="04EE0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539" w:type="dxa"/>
            <w:shd w:val="clear" w:color="auto" w:fill="C0C0C0"/>
            <w:vAlign w:val="center"/>
          </w:tcPr>
          <w:p w14:paraId="59D92CBE">
            <w:pPr>
              <w:pStyle w:val="2"/>
              <w:jc w:val="center"/>
              <w:rPr>
                <w:rFonts w:hint="eastAsia"/>
                <w:b/>
                <w:bCs/>
              </w:rPr>
            </w:pPr>
            <w:r>
              <w:rPr>
                <w:b/>
                <w:bCs/>
              </w:rPr>
              <w:t>序号</w:t>
            </w:r>
          </w:p>
        </w:tc>
        <w:tc>
          <w:tcPr>
            <w:tcW w:w="1979" w:type="dxa"/>
            <w:shd w:val="clear" w:color="auto" w:fill="C0C0C0"/>
            <w:vAlign w:val="center"/>
          </w:tcPr>
          <w:p w14:paraId="4D05E343">
            <w:pPr>
              <w:pStyle w:val="2"/>
              <w:jc w:val="center"/>
              <w:rPr>
                <w:rFonts w:hint="eastAsia"/>
                <w:b/>
                <w:bCs/>
              </w:rPr>
            </w:pPr>
            <w:r>
              <w:rPr>
                <w:b/>
                <w:bCs/>
              </w:rPr>
              <w:t>产品名称</w:t>
            </w:r>
          </w:p>
        </w:tc>
        <w:tc>
          <w:tcPr>
            <w:tcW w:w="2515" w:type="dxa"/>
            <w:shd w:val="clear" w:color="auto" w:fill="C0C0C0"/>
            <w:vAlign w:val="center"/>
          </w:tcPr>
          <w:p w14:paraId="545B01E1">
            <w:pPr>
              <w:pStyle w:val="2"/>
              <w:jc w:val="center"/>
              <w:rPr>
                <w:rFonts w:hint="eastAsia"/>
                <w:b/>
                <w:bCs/>
              </w:rPr>
            </w:pPr>
            <w:r>
              <w:rPr>
                <w:b/>
                <w:bCs/>
              </w:rPr>
              <w:t>规格</w:t>
            </w:r>
          </w:p>
        </w:tc>
        <w:tc>
          <w:tcPr>
            <w:tcW w:w="553" w:type="dxa"/>
            <w:shd w:val="clear" w:color="auto" w:fill="C0C0C0"/>
            <w:vAlign w:val="center"/>
          </w:tcPr>
          <w:p w14:paraId="2187E4EA">
            <w:pPr>
              <w:pStyle w:val="2"/>
              <w:jc w:val="center"/>
              <w:rPr>
                <w:rFonts w:hint="default"/>
                <w:b/>
                <w:bCs/>
                <w:lang w:val="en-US" w:eastAsia="zh-CN"/>
              </w:rPr>
            </w:pPr>
            <w:r>
              <w:rPr>
                <w:rFonts w:hint="eastAsia"/>
                <w:b/>
                <w:bCs/>
                <w:lang w:val="en-US" w:eastAsia="zh-CN"/>
              </w:rPr>
              <w:t>区域</w:t>
            </w:r>
          </w:p>
        </w:tc>
        <w:tc>
          <w:tcPr>
            <w:tcW w:w="1329" w:type="dxa"/>
            <w:shd w:val="clear" w:color="auto" w:fill="C0C0C0"/>
            <w:vAlign w:val="center"/>
          </w:tcPr>
          <w:p w14:paraId="603E467C">
            <w:pPr>
              <w:pStyle w:val="2"/>
              <w:jc w:val="center"/>
              <w:rPr>
                <w:rFonts w:hint="eastAsia"/>
                <w:b/>
                <w:bCs/>
                <w:lang w:eastAsia="zh-CN"/>
              </w:rPr>
            </w:pPr>
            <w:r>
              <w:rPr>
                <w:b/>
                <w:bCs/>
                <w:lang w:eastAsia="zh-CN"/>
              </w:rPr>
              <w:t>含税单价（人民币：元/台）</w:t>
            </w:r>
          </w:p>
        </w:tc>
        <w:tc>
          <w:tcPr>
            <w:tcW w:w="500" w:type="dxa"/>
            <w:shd w:val="clear" w:color="auto" w:fill="C0C0C0"/>
            <w:vAlign w:val="center"/>
          </w:tcPr>
          <w:p w14:paraId="374EBFE4">
            <w:pPr>
              <w:pStyle w:val="2"/>
              <w:jc w:val="center"/>
              <w:rPr>
                <w:rFonts w:hint="eastAsia"/>
                <w:b/>
                <w:bCs/>
              </w:rPr>
            </w:pPr>
            <w:r>
              <w:rPr>
                <w:b/>
                <w:bCs/>
              </w:rPr>
              <w:t>计量单位</w:t>
            </w:r>
          </w:p>
        </w:tc>
        <w:tc>
          <w:tcPr>
            <w:tcW w:w="1890" w:type="dxa"/>
            <w:shd w:val="clear" w:color="auto" w:fill="C0C0C0"/>
            <w:vAlign w:val="center"/>
          </w:tcPr>
          <w:p w14:paraId="49882391">
            <w:pPr>
              <w:pStyle w:val="2"/>
              <w:jc w:val="center"/>
              <w:rPr>
                <w:rFonts w:hint="eastAsia"/>
                <w:b/>
                <w:bCs/>
              </w:rPr>
            </w:pPr>
            <w:r>
              <w:rPr>
                <w:b/>
                <w:bCs/>
              </w:rPr>
              <w:t>质保期/质保内容</w:t>
            </w:r>
          </w:p>
        </w:tc>
        <w:tc>
          <w:tcPr>
            <w:tcW w:w="1610" w:type="dxa"/>
            <w:shd w:val="clear" w:color="auto" w:fill="C0C0C0"/>
            <w:vAlign w:val="center"/>
          </w:tcPr>
          <w:p w14:paraId="5F966ABB">
            <w:pPr>
              <w:pStyle w:val="2"/>
              <w:jc w:val="center"/>
              <w:rPr>
                <w:rFonts w:hint="eastAsia" w:eastAsia="华文楷体"/>
                <w:b/>
                <w:bCs/>
                <w:lang w:val="en-US" w:eastAsia="zh-CN"/>
              </w:rPr>
            </w:pPr>
            <w:r>
              <w:rPr>
                <w:rFonts w:hint="eastAsia"/>
                <w:b/>
                <w:bCs/>
                <w:lang w:val="en-US" w:eastAsia="zh-CN"/>
              </w:rPr>
              <w:t>备注</w:t>
            </w:r>
          </w:p>
        </w:tc>
      </w:tr>
      <w:tr w14:paraId="606B3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 w:hRule="atLeast"/>
        </w:trPr>
        <w:tc>
          <w:tcPr>
            <w:tcW w:w="539" w:type="dxa"/>
            <w:vAlign w:val="center"/>
          </w:tcPr>
          <w:p w14:paraId="60BEA8FA">
            <w:pPr>
              <w:pStyle w:val="2"/>
              <w:jc w:val="center"/>
              <w:rPr>
                <w:rFonts w:hint="eastAsia"/>
              </w:rPr>
            </w:pPr>
            <w:r>
              <w:t>1</w:t>
            </w:r>
          </w:p>
        </w:tc>
        <w:tc>
          <w:tcPr>
            <w:tcW w:w="1979" w:type="dxa"/>
            <w:vAlign w:val="center"/>
          </w:tcPr>
          <w:p w14:paraId="4DE0D005">
            <w:pPr>
              <w:pStyle w:val="2"/>
              <w:jc w:val="center"/>
              <w:rPr>
                <w:rFonts w:hint="default" w:eastAsia="华文楷体"/>
                <w:lang w:val="en-US" w:eastAsia="zh-CN"/>
              </w:rPr>
            </w:pPr>
          </w:p>
        </w:tc>
        <w:tc>
          <w:tcPr>
            <w:tcW w:w="2515" w:type="dxa"/>
            <w:vAlign w:val="center"/>
          </w:tcPr>
          <w:p w14:paraId="5DD7CD33">
            <w:pPr>
              <w:pStyle w:val="2"/>
              <w:jc w:val="center"/>
              <w:rPr>
                <w:rFonts w:hint="default"/>
                <w:lang w:val="en-US" w:eastAsia="zh-CN"/>
              </w:rPr>
            </w:pPr>
          </w:p>
        </w:tc>
        <w:tc>
          <w:tcPr>
            <w:tcW w:w="553" w:type="dxa"/>
            <w:vAlign w:val="center"/>
          </w:tcPr>
          <w:p w14:paraId="0B45EDFF">
            <w:pPr>
              <w:pStyle w:val="2"/>
              <w:jc w:val="center"/>
              <w:rPr>
                <w:rFonts w:hint="default"/>
                <w:lang w:val="en-US" w:eastAsia="zh-CN"/>
              </w:rPr>
            </w:pPr>
          </w:p>
        </w:tc>
        <w:tc>
          <w:tcPr>
            <w:tcW w:w="1329" w:type="dxa"/>
            <w:vAlign w:val="center"/>
          </w:tcPr>
          <w:p w14:paraId="0631856D">
            <w:pPr>
              <w:keepNext w:val="0"/>
              <w:keepLines w:val="0"/>
              <w:widowControl/>
              <w:suppressLineNumbers w:val="0"/>
              <w:jc w:val="center"/>
              <w:textAlignment w:val="center"/>
              <w:rPr>
                <w:rFonts w:hint="default" w:ascii="华文楷体" w:hAnsi="华文楷体" w:eastAsia="华文楷体" w:cs="华文楷体"/>
                <w:sz w:val="20"/>
                <w:szCs w:val="20"/>
                <w:lang w:val="en-US" w:eastAsia="zh-CN"/>
              </w:rPr>
            </w:pPr>
          </w:p>
        </w:tc>
        <w:tc>
          <w:tcPr>
            <w:tcW w:w="500" w:type="dxa"/>
            <w:vAlign w:val="center"/>
          </w:tcPr>
          <w:p w14:paraId="58C7BA17">
            <w:pPr>
              <w:pStyle w:val="2"/>
              <w:jc w:val="center"/>
              <w:rPr>
                <w:rFonts w:hint="default" w:eastAsia="华文楷体"/>
                <w:lang w:val="en-US" w:eastAsia="zh-CN"/>
              </w:rPr>
            </w:pPr>
          </w:p>
        </w:tc>
        <w:tc>
          <w:tcPr>
            <w:tcW w:w="1890" w:type="dxa"/>
            <w:vAlign w:val="center"/>
          </w:tcPr>
          <w:p w14:paraId="79CAB64D">
            <w:pPr>
              <w:pStyle w:val="2"/>
              <w:jc w:val="center"/>
              <w:rPr>
                <w:rFonts w:hint="default"/>
                <w:lang w:val="en-US" w:eastAsia="zh-CN"/>
              </w:rPr>
            </w:pPr>
          </w:p>
        </w:tc>
        <w:tc>
          <w:tcPr>
            <w:tcW w:w="1610" w:type="dxa"/>
            <w:vAlign w:val="center"/>
          </w:tcPr>
          <w:p w14:paraId="125CF093">
            <w:pPr>
              <w:pStyle w:val="2"/>
              <w:jc w:val="center"/>
              <w:rPr>
                <w:rFonts w:hint="default"/>
                <w:lang w:val="en-US" w:eastAsia="zh-CN"/>
              </w:rPr>
            </w:pPr>
            <w:r>
              <w:rPr>
                <w:rFonts w:hint="eastAsia"/>
                <w:lang w:val="en-US" w:eastAsia="zh-CN"/>
              </w:rPr>
              <w:t>起送量30台</w:t>
            </w:r>
          </w:p>
        </w:tc>
      </w:tr>
      <w:tr w14:paraId="78D22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5" w:hRule="atLeast"/>
        </w:trPr>
        <w:tc>
          <w:tcPr>
            <w:tcW w:w="539" w:type="dxa"/>
            <w:vAlign w:val="center"/>
          </w:tcPr>
          <w:p w14:paraId="54EF2322">
            <w:pPr>
              <w:pStyle w:val="2"/>
              <w:jc w:val="center"/>
              <w:rPr>
                <w:rFonts w:hint="eastAsia"/>
                <w:lang w:eastAsia="zh-CN"/>
              </w:rPr>
            </w:pPr>
            <w:r>
              <w:rPr>
                <w:rFonts w:hint="eastAsia"/>
                <w:lang w:eastAsia="zh-CN"/>
              </w:rPr>
              <w:t>2</w:t>
            </w:r>
          </w:p>
        </w:tc>
        <w:tc>
          <w:tcPr>
            <w:tcW w:w="1979" w:type="dxa"/>
            <w:vAlign w:val="center"/>
          </w:tcPr>
          <w:p w14:paraId="6AC6A494">
            <w:pPr>
              <w:pStyle w:val="2"/>
              <w:jc w:val="center"/>
              <w:rPr>
                <w:rFonts w:hint="default"/>
                <w:lang w:val="en-US"/>
              </w:rPr>
            </w:pPr>
          </w:p>
        </w:tc>
        <w:tc>
          <w:tcPr>
            <w:tcW w:w="2515" w:type="dxa"/>
            <w:vAlign w:val="center"/>
          </w:tcPr>
          <w:p w14:paraId="236E1A40">
            <w:pPr>
              <w:pStyle w:val="2"/>
              <w:jc w:val="center"/>
              <w:rPr>
                <w:rFonts w:hint="default"/>
                <w:lang w:val="en-US" w:eastAsia="zh-CN"/>
              </w:rPr>
            </w:pPr>
          </w:p>
        </w:tc>
        <w:tc>
          <w:tcPr>
            <w:tcW w:w="553" w:type="dxa"/>
            <w:vAlign w:val="center"/>
          </w:tcPr>
          <w:p w14:paraId="4FAACB82">
            <w:pPr>
              <w:pStyle w:val="2"/>
              <w:jc w:val="center"/>
              <w:rPr>
                <w:rFonts w:hint="default"/>
                <w:lang w:val="en-US" w:eastAsia="zh-CN"/>
              </w:rPr>
            </w:pPr>
          </w:p>
        </w:tc>
        <w:tc>
          <w:tcPr>
            <w:tcW w:w="1329" w:type="dxa"/>
            <w:vAlign w:val="center"/>
          </w:tcPr>
          <w:p w14:paraId="1179F186">
            <w:pPr>
              <w:keepNext w:val="0"/>
              <w:keepLines w:val="0"/>
              <w:widowControl/>
              <w:suppressLineNumbers w:val="0"/>
              <w:jc w:val="center"/>
              <w:textAlignment w:val="center"/>
              <w:rPr>
                <w:rFonts w:hint="default" w:ascii="华文楷体" w:hAnsi="华文楷体" w:eastAsia="华文楷体" w:cs="华文楷体"/>
                <w:sz w:val="20"/>
                <w:szCs w:val="20"/>
                <w:lang w:val="en-US" w:eastAsia="zh-CN"/>
              </w:rPr>
            </w:pPr>
          </w:p>
        </w:tc>
        <w:tc>
          <w:tcPr>
            <w:tcW w:w="500" w:type="dxa"/>
            <w:vAlign w:val="center"/>
          </w:tcPr>
          <w:p w14:paraId="6C09984B">
            <w:pPr>
              <w:pStyle w:val="2"/>
              <w:jc w:val="center"/>
              <w:rPr>
                <w:rFonts w:hint="default" w:eastAsia="华文楷体"/>
                <w:lang w:val="en-US" w:eastAsia="zh-CN"/>
              </w:rPr>
            </w:pPr>
          </w:p>
        </w:tc>
        <w:tc>
          <w:tcPr>
            <w:tcW w:w="1890" w:type="dxa"/>
            <w:vAlign w:val="center"/>
          </w:tcPr>
          <w:p w14:paraId="292702C1">
            <w:pPr>
              <w:pStyle w:val="2"/>
              <w:jc w:val="center"/>
              <w:rPr>
                <w:rFonts w:hint="eastAsia"/>
                <w:lang w:eastAsia="zh-CN"/>
              </w:rPr>
            </w:pPr>
          </w:p>
        </w:tc>
        <w:tc>
          <w:tcPr>
            <w:tcW w:w="1610" w:type="dxa"/>
            <w:vAlign w:val="center"/>
          </w:tcPr>
          <w:p w14:paraId="1905CB51">
            <w:pPr>
              <w:pStyle w:val="2"/>
              <w:jc w:val="center"/>
              <w:rPr>
                <w:lang w:eastAsia="zh-CN"/>
              </w:rPr>
            </w:pPr>
            <w:r>
              <w:rPr>
                <w:rFonts w:hint="eastAsia"/>
                <w:lang w:val="en-US" w:eastAsia="zh-CN"/>
              </w:rPr>
              <w:t>起送量30台</w:t>
            </w:r>
          </w:p>
        </w:tc>
      </w:tr>
      <w:tr w14:paraId="6D92E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5" w:hRule="atLeast"/>
        </w:trPr>
        <w:tc>
          <w:tcPr>
            <w:tcW w:w="539" w:type="dxa"/>
            <w:vAlign w:val="center"/>
          </w:tcPr>
          <w:p w14:paraId="3D733459">
            <w:pPr>
              <w:pStyle w:val="2"/>
              <w:jc w:val="center"/>
              <w:rPr>
                <w:rFonts w:hint="default"/>
                <w:lang w:val="en-US" w:eastAsia="zh-CN"/>
              </w:rPr>
            </w:pPr>
            <w:r>
              <w:rPr>
                <w:rFonts w:hint="eastAsia"/>
                <w:lang w:val="en-US" w:eastAsia="zh-CN"/>
              </w:rPr>
              <w:t>3</w:t>
            </w:r>
          </w:p>
        </w:tc>
        <w:tc>
          <w:tcPr>
            <w:tcW w:w="1979" w:type="dxa"/>
            <w:vAlign w:val="center"/>
          </w:tcPr>
          <w:p w14:paraId="105E8C8D">
            <w:pPr>
              <w:pStyle w:val="2"/>
              <w:jc w:val="center"/>
              <w:rPr>
                <w:rFonts w:hint="eastAsia"/>
                <w:lang w:val="en-US" w:eastAsia="zh-CN"/>
              </w:rPr>
            </w:pPr>
          </w:p>
        </w:tc>
        <w:tc>
          <w:tcPr>
            <w:tcW w:w="2515" w:type="dxa"/>
            <w:vAlign w:val="center"/>
          </w:tcPr>
          <w:p w14:paraId="1FF7236B">
            <w:pPr>
              <w:pStyle w:val="2"/>
              <w:jc w:val="center"/>
              <w:rPr>
                <w:rFonts w:hint="eastAsia"/>
                <w:lang w:eastAsia="zh-CN"/>
              </w:rPr>
            </w:pPr>
          </w:p>
        </w:tc>
        <w:tc>
          <w:tcPr>
            <w:tcW w:w="553" w:type="dxa"/>
            <w:vAlign w:val="center"/>
          </w:tcPr>
          <w:p w14:paraId="389FEA15">
            <w:pPr>
              <w:pStyle w:val="2"/>
              <w:jc w:val="center"/>
              <w:rPr>
                <w:rFonts w:hint="eastAsia"/>
                <w:lang w:val="en-US" w:eastAsia="zh-CN"/>
              </w:rPr>
            </w:pPr>
          </w:p>
        </w:tc>
        <w:tc>
          <w:tcPr>
            <w:tcW w:w="1329" w:type="dxa"/>
            <w:vAlign w:val="center"/>
          </w:tcPr>
          <w:p w14:paraId="5893955F">
            <w:pPr>
              <w:keepNext w:val="0"/>
              <w:keepLines w:val="0"/>
              <w:widowControl/>
              <w:suppressLineNumbers w:val="0"/>
              <w:jc w:val="center"/>
              <w:textAlignment w:val="center"/>
              <w:rPr>
                <w:rFonts w:hint="default" w:ascii="华文楷体" w:hAnsi="华文楷体" w:eastAsia="华文楷体" w:cs="华文楷体"/>
                <w:sz w:val="20"/>
                <w:szCs w:val="20"/>
                <w:lang w:val="en-US" w:eastAsia="zh-CN"/>
              </w:rPr>
            </w:pPr>
          </w:p>
        </w:tc>
        <w:tc>
          <w:tcPr>
            <w:tcW w:w="500" w:type="dxa"/>
            <w:vAlign w:val="center"/>
          </w:tcPr>
          <w:p w14:paraId="239FCEC4">
            <w:pPr>
              <w:pStyle w:val="2"/>
              <w:jc w:val="center"/>
              <w:rPr>
                <w:rFonts w:hint="eastAsia"/>
                <w:lang w:val="en-US" w:eastAsia="zh-CN"/>
              </w:rPr>
            </w:pPr>
          </w:p>
        </w:tc>
        <w:tc>
          <w:tcPr>
            <w:tcW w:w="1890" w:type="dxa"/>
            <w:vAlign w:val="center"/>
          </w:tcPr>
          <w:p w14:paraId="34AC2E41">
            <w:pPr>
              <w:pStyle w:val="2"/>
              <w:jc w:val="center"/>
              <w:rPr>
                <w:rFonts w:hint="eastAsia"/>
                <w:spacing w:val="0"/>
                <w:lang w:eastAsia="zh-CN"/>
              </w:rPr>
            </w:pPr>
          </w:p>
        </w:tc>
        <w:tc>
          <w:tcPr>
            <w:tcW w:w="1610" w:type="dxa"/>
            <w:vAlign w:val="center"/>
          </w:tcPr>
          <w:p w14:paraId="774B4F04">
            <w:pPr>
              <w:pStyle w:val="2"/>
              <w:jc w:val="center"/>
              <w:rPr>
                <w:rFonts w:hint="eastAsia"/>
                <w:lang w:val="en-US" w:eastAsia="zh-CN"/>
              </w:rPr>
            </w:pPr>
            <w:r>
              <w:rPr>
                <w:rFonts w:hint="eastAsia"/>
                <w:lang w:val="en-US" w:eastAsia="zh-CN"/>
              </w:rPr>
              <w:t>起送量30台</w:t>
            </w:r>
          </w:p>
        </w:tc>
      </w:tr>
    </w:tbl>
    <w:p w14:paraId="77C3A2C6">
      <w:pPr>
        <w:pStyle w:val="2"/>
        <w:rPr>
          <w:rFonts w:hint="eastAsia"/>
          <w:b/>
          <w:bCs/>
          <w:lang w:eastAsia="zh-CN"/>
        </w:rPr>
      </w:pPr>
      <w:r>
        <w:rPr>
          <w:b/>
          <w:bCs/>
          <w:lang w:eastAsia="zh-CN"/>
        </w:rPr>
        <w:t>备注：</w:t>
      </w:r>
    </w:p>
    <w:p w14:paraId="05F72905">
      <w:pPr>
        <w:pStyle w:val="2"/>
        <w:spacing w:before="19" w:line="257" w:lineRule="auto"/>
        <w:ind w:left="274"/>
        <w:rPr>
          <w:rFonts w:hint="eastAsia"/>
          <w:lang w:eastAsia="zh-CN"/>
        </w:rPr>
      </w:pPr>
      <w:r>
        <w:rPr>
          <w:spacing w:val="5"/>
          <w:lang w:eastAsia="zh-CN"/>
        </w:rPr>
        <w:t>1）以上价格含税，税率为</w:t>
      </w:r>
      <w:r>
        <w:rPr>
          <w:spacing w:val="5"/>
          <w:u w:val="single"/>
          <w:lang w:eastAsia="zh-CN"/>
        </w:rPr>
        <w:t>13</w:t>
      </w:r>
      <w:r>
        <w:rPr>
          <w:spacing w:val="5"/>
          <w:lang w:eastAsia="zh-CN"/>
        </w:rPr>
        <w:t>%的</w:t>
      </w:r>
      <w:r>
        <w:rPr>
          <w:spacing w:val="4"/>
          <w:u w:val="single"/>
          <w:lang w:eastAsia="zh-CN"/>
        </w:rPr>
        <w:t>增值税专用</w:t>
      </w:r>
      <w:r>
        <w:rPr>
          <w:spacing w:val="4"/>
          <w:lang w:eastAsia="zh-CN"/>
        </w:rPr>
        <w:t>发票</w:t>
      </w:r>
      <w:r>
        <w:rPr>
          <w:lang w:eastAsia="zh-CN"/>
        </w:rPr>
        <w:t>；</w:t>
      </w:r>
    </w:p>
    <w:p w14:paraId="6FC3B5F7">
      <w:pPr>
        <w:pStyle w:val="2"/>
        <w:spacing w:line="323" w:lineRule="exact"/>
        <w:ind w:left="263"/>
        <w:rPr>
          <w:spacing w:val="1"/>
          <w:position w:val="4"/>
          <w:lang w:eastAsia="zh-CN"/>
        </w:rPr>
      </w:pPr>
      <w:r>
        <w:rPr>
          <w:spacing w:val="2"/>
          <w:position w:val="4"/>
          <w:lang w:eastAsia="zh-CN"/>
        </w:rPr>
        <w:t>2）以上价格包括但不限于：包装、运输、退换货、保险</w:t>
      </w:r>
      <w:bookmarkStart w:id="3" w:name="_GoBack"/>
      <w:r>
        <w:rPr>
          <w:rFonts w:hint="eastAsia"/>
          <w:spacing w:val="2"/>
          <w:position w:val="4"/>
          <w:lang w:eastAsia="zh-CN"/>
        </w:rPr>
        <w:t>、</w:t>
      </w:r>
      <w:r>
        <w:rPr>
          <w:rFonts w:hint="eastAsia"/>
          <w:spacing w:val="2"/>
          <w:position w:val="4"/>
          <w:lang w:val="en-US" w:eastAsia="zh-CN"/>
        </w:rPr>
        <w:t>安装</w:t>
      </w:r>
      <w:bookmarkEnd w:id="3"/>
      <w:r>
        <w:rPr>
          <w:spacing w:val="2"/>
          <w:position w:val="4"/>
          <w:lang w:eastAsia="zh-CN"/>
        </w:rPr>
        <w:t>以及货物装</w:t>
      </w:r>
      <w:r>
        <w:rPr>
          <w:spacing w:val="1"/>
          <w:position w:val="4"/>
          <w:lang w:eastAsia="zh-CN"/>
        </w:rPr>
        <w:t>卸、零配件更换、维修等费用。</w:t>
      </w:r>
    </w:p>
    <w:p w14:paraId="13E96113">
      <w:pPr>
        <w:pStyle w:val="2"/>
        <w:spacing w:line="323" w:lineRule="exact"/>
        <w:ind w:left="263"/>
        <w:rPr>
          <w:rFonts w:hint="eastAsia" w:eastAsia="华文楷体"/>
          <w:spacing w:val="2"/>
          <w:position w:val="4"/>
          <w:lang w:val="en-US" w:eastAsia="zh-CN"/>
        </w:rPr>
      </w:pPr>
      <w:r>
        <w:rPr>
          <w:rFonts w:hint="eastAsia"/>
          <w:spacing w:val="2"/>
          <w:position w:val="4"/>
          <w:lang w:eastAsia="zh-CN"/>
        </w:rPr>
        <w:t>3</w:t>
      </w:r>
      <w:r>
        <w:rPr>
          <w:rFonts w:hint="eastAsia"/>
          <w:spacing w:val="2"/>
          <w:position w:val="4"/>
        </w:rPr>
        <w:t>）送货地址：</w:t>
      </w:r>
      <w:r>
        <w:rPr>
          <w:rFonts w:hint="eastAsia"/>
          <w:spacing w:val="2"/>
          <w:position w:val="4"/>
          <w:lang w:val="en-US" w:eastAsia="zh-CN"/>
        </w:rPr>
        <w:t>全国</w:t>
      </w:r>
    </w:p>
    <w:p w14:paraId="74C78027">
      <w:pPr>
        <w:pStyle w:val="2"/>
        <w:spacing w:line="323" w:lineRule="exact"/>
        <w:ind w:left="263"/>
        <w:rPr>
          <w:rFonts w:hint="eastAsia"/>
          <w:spacing w:val="2"/>
          <w:position w:val="4"/>
          <w:lang w:eastAsia="zh-CN"/>
        </w:rPr>
      </w:pPr>
    </w:p>
    <w:p w14:paraId="4BEB6432">
      <w:pPr>
        <w:pStyle w:val="2"/>
        <w:numPr>
          <w:ilvl w:val="0"/>
          <w:numId w:val="10"/>
        </w:numPr>
        <w:rPr>
          <w:rFonts w:hint="eastAsia"/>
          <w:b/>
          <w:bCs/>
          <w:sz w:val="21"/>
          <w:szCs w:val="21"/>
          <w:lang w:eastAsia="zh-CN"/>
        </w:rPr>
      </w:pPr>
      <w:r>
        <w:rPr>
          <w:b/>
          <w:bCs/>
          <w:sz w:val="21"/>
          <w:szCs w:val="21"/>
          <w:lang w:eastAsia="zh-CN"/>
        </w:rPr>
        <w:t>上述产品基本参数要求及验收标准如下：</w:t>
      </w:r>
    </w:p>
    <w:p w14:paraId="562483E4">
      <w:pPr>
        <w:numPr>
          <w:ilvl w:val="-1"/>
          <w:numId w:val="0"/>
        </w:numPr>
        <w:ind w:leftChars="0"/>
        <w:rPr>
          <w:rFonts w:hint="default" w:ascii="华文楷体" w:hAnsi="华文楷体" w:eastAsia="华文楷体" w:cs="华文楷体"/>
          <w:b w:val="0"/>
          <w:bCs w:val="0"/>
          <w:color w:val="000000"/>
          <w:spacing w:val="2"/>
          <w:position w:val="4"/>
          <w:sz w:val="20"/>
          <w:szCs w:val="20"/>
          <w:lang w:val="en-US" w:eastAsia="zh-CN"/>
        </w:rPr>
      </w:pPr>
      <w:r>
        <w:rPr>
          <w:rFonts w:hint="eastAsia" w:ascii="华文楷体" w:hAnsi="华文楷体" w:eastAsia="华文楷体" w:cs="华文楷体"/>
          <w:b w:val="0"/>
          <w:bCs w:val="0"/>
          <w:color w:val="000000"/>
          <w:spacing w:val="2"/>
          <w:position w:val="4"/>
          <w:sz w:val="20"/>
          <w:szCs w:val="20"/>
          <w:lang w:val="en-US" w:eastAsia="zh-CN"/>
        </w:rPr>
        <w:t>1）产品</w:t>
      </w:r>
      <w:r>
        <w:rPr>
          <w:rFonts w:hint="default" w:ascii="华文楷体" w:hAnsi="华文楷体" w:eastAsia="华文楷体" w:cs="华文楷体"/>
          <w:b w:val="0"/>
          <w:bCs w:val="0"/>
          <w:color w:val="000000"/>
          <w:spacing w:val="2"/>
          <w:position w:val="4"/>
          <w:sz w:val="20"/>
          <w:szCs w:val="20"/>
          <w:lang w:val="en-US" w:eastAsia="zh-CN"/>
        </w:rPr>
        <w:t>规格</w:t>
      </w:r>
    </w:p>
    <w:tbl>
      <w:tblPr>
        <w:tblStyle w:val="10"/>
        <w:tblW w:w="106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55"/>
        <w:gridCol w:w="1872"/>
        <w:gridCol w:w="871"/>
        <w:gridCol w:w="6774"/>
      </w:tblGrid>
      <w:tr w14:paraId="005FD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7" w:hRule="atLeast"/>
        </w:trPr>
        <w:tc>
          <w:tcPr>
            <w:tcW w:w="1055"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7F9BEB8B">
            <w:pPr>
              <w:keepNext w:val="0"/>
              <w:keepLines w:val="0"/>
              <w:widowControl/>
              <w:suppressLineNumbers w:val="0"/>
              <w:jc w:val="center"/>
              <w:textAlignment w:val="center"/>
              <w:rPr>
                <w:rFonts w:hint="eastAsia" w:ascii="华文楷体" w:hAnsi="华文楷体" w:eastAsia="华文楷体" w:cs="华文楷体"/>
                <w:b/>
                <w:i w:val="0"/>
                <w:color w:val="000000"/>
                <w:sz w:val="22"/>
                <w:szCs w:val="22"/>
                <w:u w:val="none"/>
                <w:lang w:val="en-US"/>
              </w:rPr>
            </w:pPr>
            <w:r>
              <w:rPr>
                <w:rFonts w:hint="eastAsia" w:ascii="华文楷体" w:hAnsi="华文楷体" w:eastAsia="华文楷体" w:cs="华文楷体"/>
                <w:b/>
                <w:i w:val="0"/>
                <w:color w:val="000000"/>
                <w:kern w:val="0"/>
                <w:sz w:val="22"/>
                <w:szCs w:val="22"/>
                <w:u w:val="none"/>
                <w:lang w:val="en-US" w:eastAsia="zh-CN" w:bidi="ar"/>
              </w:rPr>
              <w:t>分类</w:t>
            </w:r>
          </w:p>
        </w:tc>
        <w:tc>
          <w:tcPr>
            <w:tcW w:w="1872"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6682E3A3">
            <w:pPr>
              <w:keepNext w:val="0"/>
              <w:keepLines w:val="0"/>
              <w:widowControl/>
              <w:suppressLineNumbers w:val="0"/>
              <w:jc w:val="center"/>
              <w:textAlignment w:val="center"/>
              <w:rPr>
                <w:rFonts w:hint="eastAsia" w:ascii="华文楷体" w:hAnsi="华文楷体" w:eastAsia="华文楷体" w:cs="华文楷体"/>
                <w:b/>
                <w:i w:val="0"/>
                <w:color w:val="000000"/>
                <w:sz w:val="22"/>
                <w:szCs w:val="22"/>
                <w:u w:val="none"/>
                <w:lang w:val="en-US"/>
              </w:rPr>
            </w:pPr>
            <w:r>
              <w:rPr>
                <w:rFonts w:hint="eastAsia" w:ascii="华文楷体" w:hAnsi="华文楷体" w:eastAsia="华文楷体" w:cs="华文楷体"/>
                <w:b/>
                <w:i w:val="0"/>
                <w:color w:val="000000"/>
                <w:kern w:val="0"/>
                <w:sz w:val="22"/>
                <w:szCs w:val="22"/>
                <w:u w:val="none"/>
                <w:lang w:val="en-US" w:eastAsia="zh-CN" w:bidi="ar"/>
              </w:rPr>
              <w:t>项目</w:t>
            </w:r>
          </w:p>
        </w:tc>
        <w:tc>
          <w:tcPr>
            <w:tcW w:w="871"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17BEEEFE">
            <w:pPr>
              <w:keepNext w:val="0"/>
              <w:keepLines w:val="0"/>
              <w:widowControl/>
              <w:suppressLineNumbers w:val="0"/>
              <w:jc w:val="center"/>
              <w:textAlignment w:val="center"/>
              <w:rPr>
                <w:rFonts w:hint="eastAsia" w:ascii="华文楷体" w:hAnsi="华文楷体" w:eastAsia="华文楷体" w:cs="华文楷体"/>
                <w:b/>
                <w:i w:val="0"/>
                <w:color w:val="000000"/>
                <w:sz w:val="22"/>
                <w:szCs w:val="22"/>
                <w:u w:val="none"/>
              </w:rPr>
            </w:pPr>
            <w:r>
              <w:rPr>
                <w:rFonts w:hint="eastAsia" w:ascii="华文楷体" w:hAnsi="华文楷体" w:eastAsia="华文楷体" w:cs="华文楷体"/>
                <w:b/>
                <w:i w:val="0"/>
                <w:color w:val="000000"/>
                <w:kern w:val="0"/>
                <w:sz w:val="22"/>
                <w:szCs w:val="22"/>
                <w:u w:val="none"/>
                <w:lang w:val="en-US" w:eastAsia="zh-CN" w:bidi="ar"/>
              </w:rPr>
              <w:t>单位</w:t>
            </w:r>
          </w:p>
        </w:tc>
        <w:tc>
          <w:tcPr>
            <w:tcW w:w="6774"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7B74AB59">
            <w:pPr>
              <w:keepNext w:val="0"/>
              <w:keepLines w:val="0"/>
              <w:widowControl/>
              <w:suppressLineNumbers w:val="0"/>
              <w:jc w:val="center"/>
              <w:textAlignment w:val="center"/>
              <w:rPr>
                <w:rFonts w:hint="eastAsia" w:ascii="华文楷体" w:hAnsi="华文楷体" w:eastAsia="华文楷体" w:cs="华文楷体"/>
                <w:b/>
                <w:i w:val="0"/>
                <w:color w:val="000000"/>
                <w:sz w:val="22"/>
                <w:szCs w:val="22"/>
                <w:u w:val="none"/>
              </w:rPr>
            </w:pPr>
            <w:r>
              <w:rPr>
                <w:rFonts w:hint="eastAsia" w:ascii="华文楷体" w:hAnsi="华文楷体" w:eastAsia="华文楷体" w:cs="华文楷体"/>
                <w:b/>
                <w:i w:val="0"/>
                <w:color w:val="000000"/>
                <w:kern w:val="0"/>
                <w:sz w:val="22"/>
                <w:szCs w:val="22"/>
                <w:u w:val="none"/>
                <w:lang w:val="en-US" w:eastAsia="zh-CN" w:bidi="ar"/>
              </w:rPr>
              <w:t>具体要求</w:t>
            </w:r>
          </w:p>
        </w:tc>
      </w:tr>
      <w:tr w14:paraId="57D6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055"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1B907BE4">
            <w:pPr>
              <w:jc w:val="center"/>
              <w:rPr>
                <w:rFonts w:hint="eastAsia" w:ascii="华文楷体" w:hAnsi="华文楷体" w:eastAsia="华文楷体" w:cs="华文楷体"/>
                <w:b/>
                <w:bCs w:val="0"/>
                <w:i w:val="0"/>
                <w:color w:val="000000"/>
                <w:sz w:val="20"/>
                <w:szCs w:val="20"/>
                <w:u w:val="none"/>
                <w:lang w:val="en-US" w:eastAsia="zh-CN"/>
              </w:rPr>
            </w:pPr>
            <w:r>
              <w:rPr>
                <w:rFonts w:hint="eastAsia" w:ascii="华文楷体" w:hAnsi="华文楷体" w:eastAsia="华文楷体" w:cs="华文楷体"/>
                <w:b/>
                <w:bCs w:val="0"/>
                <w:i w:val="0"/>
                <w:color w:val="000000"/>
                <w:sz w:val="20"/>
                <w:szCs w:val="20"/>
                <w:u w:val="none"/>
                <w:lang w:val="en-US" w:eastAsia="zh-CN"/>
              </w:rPr>
              <w:t>车身</w:t>
            </w:r>
          </w:p>
        </w:tc>
        <w:tc>
          <w:tcPr>
            <w:tcW w:w="187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C301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操作类型</w:t>
            </w:r>
          </w:p>
        </w:tc>
        <w:tc>
          <w:tcPr>
            <w:tcW w:w="87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465E7D">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FF0000"/>
                <w:kern w:val="0"/>
                <w:sz w:val="20"/>
                <w:szCs w:val="20"/>
                <w:u w:val="none"/>
                <w:lang w:val="en-US" w:eastAsia="zh-CN" w:bidi="ar"/>
              </w:rPr>
              <w:t>/</w:t>
            </w:r>
          </w:p>
        </w:tc>
        <w:tc>
          <w:tcPr>
            <w:tcW w:w="6774"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FC3F6">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步行手拉式</w:t>
            </w:r>
          </w:p>
        </w:tc>
      </w:tr>
      <w:tr w14:paraId="463C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8"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7F409">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E409A">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实际载重</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B50DB">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kg</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017AD">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color w:val="000000"/>
                <w:kern w:val="0"/>
                <w:sz w:val="20"/>
                <w:szCs w:val="20"/>
                <w:lang w:val="en-US" w:eastAsia="zh-CN" w:bidi="ar"/>
              </w:rPr>
              <w:t>常规款：</w:t>
            </w:r>
            <w:r>
              <w:rPr>
                <w:rFonts w:hint="eastAsia" w:ascii="华文楷体" w:hAnsi="华文楷体" w:eastAsia="华文楷体" w:cs="华文楷体"/>
                <w:b w:val="0"/>
                <w:bCs w:val="0"/>
                <w:i w:val="0"/>
                <w:color w:val="000000"/>
                <w:kern w:val="0"/>
                <w:sz w:val="20"/>
                <w:szCs w:val="20"/>
                <w:u w:val="none"/>
                <w:lang w:val="en-US" w:eastAsia="zh-CN" w:bidi="ar"/>
              </w:rPr>
              <w:t>3T</w:t>
            </w:r>
          </w:p>
          <w:p w14:paraId="47393798">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加长款：</w:t>
            </w:r>
            <w:r>
              <w:rPr>
                <w:rFonts w:hint="eastAsia" w:ascii="华文楷体" w:hAnsi="华文楷体" w:eastAsia="华文楷体" w:cs="华文楷体"/>
                <w:b/>
                <w:bCs/>
                <w:i w:val="0"/>
                <w:color w:val="FF0000"/>
                <w:kern w:val="0"/>
                <w:sz w:val="20"/>
                <w:szCs w:val="20"/>
                <w:u w:val="none"/>
                <w:lang w:val="en-US" w:eastAsia="zh-CN" w:bidi="ar"/>
              </w:rPr>
              <w:t>3T（</w:t>
            </w:r>
            <w:r>
              <w:rPr>
                <w:rFonts w:hint="eastAsia" w:ascii="华文楷体" w:hAnsi="华文楷体" w:eastAsia="华文楷体" w:cs="华文楷体"/>
                <w:b/>
                <w:bCs/>
                <w:i w:val="0"/>
                <w:color w:val="FF0000"/>
                <w:kern w:val="0"/>
                <w:sz w:val="20"/>
                <w:szCs w:val="20"/>
                <w:highlight w:val="yellow"/>
                <w:u w:val="none"/>
                <w:lang w:val="en-US" w:eastAsia="zh-CN" w:bidi="ar"/>
              </w:rPr>
              <w:t>不得直接以3T加长</w:t>
            </w:r>
            <w:r>
              <w:rPr>
                <w:rFonts w:hint="eastAsia" w:ascii="华文楷体" w:hAnsi="华文楷体" w:eastAsia="华文楷体" w:cs="华文楷体"/>
                <w:b/>
                <w:bCs/>
                <w:i w:val="0"/>
                <w:color w:val="000000"/>
                <w:kern w:val="0"/>
                <w:sz w:val="20"/>
                <w:szCs w:val="20"/>
                <w:u w:val="none"/>
                <w:lang w:val="en-US" w:eastAsia="zh-CN" w:bidi="ar"/>
              </w:rPr>
              <w:t>）</w:t>
            </w:r>
          </w:p>
        </w:tc>
      </w:tr>
      <w:tr w14:paraId="1ABF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933F49">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3A8F80">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货叉长</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972EED">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mm</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CE437D">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1150/1220/2000</w:t>
            </w:r>
          </w:p>
        </w:tc>
      </w:tr>
      <w:tr w14:paraId="2F153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994A5A">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C5FC55">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车体宽度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4DCB84">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mm</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A490E6">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lang w:val="en-US"/>
              </w:rPr>
            </w:pPr>
            <w:r>
              <w:rPr>
                <w:rFonts w:hint="eastAsia" w:ascii="华文楷体" w:hAnsi="华文楷体" w:eastAsia="华文楷体" w:cs="华文楷体"/>
                <w:b w:val="0"/>
                <w:bCs w:val="0"/>
                <w:i w:val="0"/>
                <w:color w:val="000000"/>
                <w:kern w:val="0"/>
                <w:sz w:val="20"/>
                <w:szCs w:val="20"/>
                <w:u w:val="none"/>
                <w:lang w:val="en-US" w:eastAsia="zh-CN" w:bidi="ar"/>
              </w:rPr>
              <w:t>685/550/540</w:t>
            </w:r>
          </w:p>
        </w:tc>
      </w:tr>
      <w:tr w14:paraId="3207F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3"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DC635A">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60C2B6">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叉车自重</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B5BA6">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kg</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D56961F">
            <w:pPr>
              <w:keepNext w:val="0"/>
              <w:keepLines w:val="0"/>
              <w:widowControl/>
              <w:suppressLineNumbers w:val="0"/>
              <w:jc w:val="center"/>
              <w:textAlignment w:val="center"/>
              <w:rPr>
                <w:rFonts w:hint="eastAsia" w:ascii="华文楷体" w:hAnsi="华文楷体" w:eastAsia="华文楷体" w:cs="华文楷体"/>
                <w:sz w:val="20"/>
                <w:szCs w:val="20"/>
                <w:lang w:val="en-US" w:eastAsia="zh-CN"/>
              </w:rPr>
            </w:pPr>
            <w:r>
              <w:rPr>
                <w:rFonts w:hint="eastAsia" w:ascii="华文楷体" w:hAnsi="华文楷体" w:eastAsia="华文楷体" w:cs="华文楷体"/>
                <w:b w:val="0"/>
                <w:bCs w:val="0"/>
                <w:i w:val="0"/>
                <w:color w:val="FF0000"/>
                <w:kern w:val="0"/>
                <w:sz w:val="20"/>
                <w:szCs w:val="20"/>
                <w:u w:val="none"/>
                <w:lang w:val="en-US" w:eastAsia="zh-CN" w:bidi="ar"/>
              </w:rPr>
              <w:t>常规窄叉＞65Kg，常规宽叉＞68Kg</w:t>
            </w:r>
            <w:r>
              <w:rPr>
                <w:rFonts w:hint="eastAsia" w:ascii="华文楷体" w:hAnsi="华文楷体" w:eastAsia="华文楷体" w:cs="华文楷体"/>
                <w:b w:val="0"/>
                <w:bCs w:val="0"/>
                <w:i w:val="0"/>
                <w:color w:val="FF0000"/>
                <w:kern w:val="0"/>
                <w:sz w:val="20"/>
                <w:szCs w:val="20"/>
                <w:u w:val="none"/>
                <w:lang w:val="en-US" w:eastAsia="zh-CN" w:bidi="ar"/>
              </w:rPr>
              <w:br w:type="textWrapping"/>
            </w:r>
            <w:r>
              <w:rPr>
                <w:rFonts w:hint="eastAsia" w:ascii="华文楷体" w:hAnsi="华文楷体" w:eastAsia="华文楷体" w:cs="华文楷体"/>
                <w:b w:val="0"/>
                <w:bCs w:val="0"/>
                <w:i w:val="0"/>
                <w:color w:val="FF0000"/>
                <w:kern w:val="0"/>
                <w:sz w:val="20"/>
                <w:szCs w:val="20"/>
                <w:u w:val="none"/>
                <w:lang w:val="en-US" w:eastAsia="zh-CN" w:bidi="ar"/>
              </w:rPr>
              <w:t>加长窄叉＞110Kg，加长宽叉＞120Kg</w:t>
            </w:r>
          </w:p>
        </w:tc>
      </w:tr>
      <w:tr w14:paraId="55FBC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1"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F9ACF7">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1DFB8">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驱动轮/爬坡轮/承重轮 数量</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E243C0">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FF0000"/>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6CE7C4">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lang w:val="en-US"/>
              </w:rPr>
            </w:pPr>
            <w:r>
              <w:rPr>
                <w:rFonts w:hint="eastAsia" w:ascii="华文楷体" w:hAnsi="华文楷体" w:eastAsia="华文楷体" w:cs="华文楷体"/>
                <w:b w:val="0"/>
                <w:bCs w:val="0"/>
                <w:i w:val="0"/>
                <w:color w:val="000000"/>
                <w:kern w:val="0"/>
                <w:sz w:val="20"/>
                <w:szCs w:val="20"/>
                <w:u w:val="none"/>
                <w:lang w:val="en-US" w:eastAsia="zh-CN" w:bidi="ar"/>
              </w:rPr>
              <w:t>2/2/4，共8个</w:t>
            </w:r>
          </w:p>
        </w:tc>
      </w:tr>
      <w:tr w14:paraId="0CCC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3D324">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72C5D1">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货叉最低高度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15C2B">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07A098C3">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75/85</w:t>
            </w:r>
          </w:p>
        </w:tc>
      </w:tr>
      <w:tr w14:paraId="2A81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8"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2164C">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353197">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最大起升高度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2D38A">
            <w:pPr>
              <w:keepNext w:val="0"/>
              <w:keepLines w:val="0"/>
              <w:widowControl/>
              <w:suppressLineNumbers w:val="0"/>
              <w:jc w:val="center"/>
              <w:textAlignment w:val="center"/>
              <w:rPr>
                <w:rFonts w:hint="eastAsia" w:ascii="华文楷体" w:hAnsi="华文楷体" w:eastAsia="华文楷体" w:cs="华文楷体"/>
                <w:b w:val="0"/>
                <w:bCs w:val="0"/>
                <w:i w:val="0"/>
                <w:color w:val="000000"/>
                <w:sz w:val="20"/>
                <w:szCs w:val="20"/>
                <w:u w:val="none"/>
              </w:rPr>
            </w:pPr>
            <w:r>
              <w:rPr>
                <w:rFonts w:hint="eastAsia" w:ascii="华文楷体" w:hAnsi="华文楷体" w:eastAsia="华文楷体" w:cs="华文楷体"/>
                <w:b w:val="0"/>
                <w:bCs w:val="0"/>
                <w:i w:val="0"/>
                <w:color w:val="000000"/>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02044C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190/200</w:t>
            </w:r>
          </w:p>
        </w:tc>
      </w:tr>
      <w:tr w14:paraId="60FFC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8" w:hRule="atLeast"/>
        </w:trPr>
        <w:tc>
          <w:tcPr>
            <w:tcW w:w="105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179880C">
            <w:pPr>
              <w:keepNext w:val="0"/>
              <w:keepLines w:val="0"/>
              <w:widowControl/>
              <w:suppressLineNumbers w:val="0"/>
              <w:jc w:val="center"/>
              <w:textAlignment w:val="center"/>
              <w:rPr>
                <w:rFonts w:hint="eastAsia" w:ascii="华文楷体" w:hAnsi="华文楷体" w:eastAsia="华文楷体" w:cs="华文楷体"/>
                <w:b/>
                <w:bCs w:val="0"/>
                <w:i w:val="0"/>
                <w:color w:val="000000"/>
                <w:sz w:val="20"/>
                <w:szCs w:val="20"/>
                <w:u w:val="none"/>
                <w:lang w:val="en-US"/>
              </w:rPr>
            </w:pPr>
            <w:r>
              <w:rPr>
                <w:rFonts w:hint="eastAsia" w:ascii="华文楷体" w:hAnsi="华文楷体" w:eastAsia="华文楷体" w:cs="华文楷体"/>
                <w:b/>
                <w:bCs w:val="0"/>
                <w:i w:val="0"/>
                <w:color w:val="000000"/>
                <w:kern w:val="0"/>
                <w:sz w:val="20"/>
                <w:szCs w:val="20"/>
                <w:u w:val="none"/>
                <w:lang w:val="en-US" w:eastAsia="zh-CN" w:bidi="ar"/>
              </w:rPr>
              <w:t>压力装置</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F22E0">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油泵</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AA8B8">
            <w:pPr>
              <w:keepNext w:val="0"/>
              <w:keepLines w:val="0"/>
              <w:widowControl/>
              <w:suppressLineNumbers w:val="0"/>
              <w:jc w:val="center"/>
              <w:textAlignment w:val="center"/>
              <w:rPr>
                <w:rFonts w:hint="eastAsia" w:ascii="华文楷体" w:hAnsi="华文楷体" w:eastAsia="华文楷体" w:cs="华文楷体"/>
                <w:b w:val="0"/>
                <w:bCs w:val="0"/>
                <w:i w:val="0"/>
                <w:color w:val="FF0000"/>
                <w:sz w:val="20"/>
                <w:szCs w:val="20"/>
                <w:u w:val="none"/>
              </w:rPr>
            </w:pPr>
            <w:r>
              <w:rPr>
                <w:rFonts w:hint="eastAsia" w:ascii="华文楷体" w:hAnsi="华文楷体" w:eastAsia="华文楷体" w:cs="华文楷体"/>
                <w:b w:val="0"/>
                <w:bCs w:val="0"/>
                <w:i w:val="0"/>
                <w:color w:val="FF0000"/>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78CBD8">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一体铸造成型</w:t>
            </w:r>
          </w:p>
        </w:tc>
      </w:tr>
      <w:tr w14:paraId="584B4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5"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FA2A6F0">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BDAEC8">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加压可行进次数</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32CC05">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次</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5F9464B">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从完全泄压到可装载标准1210托盘行进，需加压次数≤5</w:t>
            </w:r>
          </w:p>
        </w:tc>
      </w:tr>
      <w:tr w14:paraId="50F45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9"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448CFE5">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038F5">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满载提升最高处需加压次数</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A72EE">
            <w:pPr>
              <w:keepNext w:val="0"/>
              <w:keepLines w:val="0"/>
              <w:widowControl/>
              <w:suppressLineNumbers w:val="0"/>
              <w:jc w:val="center"/>
              <w:textAlignment w:val="center"/>
              <w:rPr>
                <w:rFonts w:hint="eastAsia" w:ascii="华文楷体" w:hAnsi="华文楷体" w:eastAsia="华文楷体" w:cs="华文楷体"/>
                <w:b w:val="0"/>
                <w:bCs w:val="0"/>
                <w:i w:val="0"/>
                <w:color w:val="FF0000"/>
                <w:sz w:val="20"/>
                <w:szCs w:val="20"/>
                <w:u w:val="none"/>
              </w:rPr>
            </w:pPr>
            <w:r>
              <w:rPr>
                <w:rFonts w:hint="eastAsia" w:ascii="华文楷体" w:hAnsi="华文楷体" w:eastAsia="华文楷体" w:cs="华文楷体"/>
                <w:b w:val="0"/>
                <w:bCs w:val="0"/>
                <w:i w:val="0"/>
                <w:color w:val="FF0000"/>
                <w:kern w:val="0"/>
                <w:sz w:val="20"/>
                <w:szCs w:val="20"/>
                <w:u w:val="none"/>
                <w:lang w:val="en-US" w:eastAsia="zh-CN" w:bidi="ar"/>
              </w:rPr>
              <w:t>次</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474EAD71">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设计载重范围内负载，从完全泄压到加压至最高位，需加压次数≤13</w:t>
            </w:r>
          </w:p>
        </w:tc>
      </w:tr>
      <w:tr w14:paraId="351CF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A0FC94A">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6A6B51">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下降速度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12B51">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1DF755C">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手刹及脚刹完全泄压，从最高降至最低≤3秒</w:t>
            </w:r>
          </w:p>
        </w:tc>
      </w:tr>
      <w:tr w14:paraId="63E1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1"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CB1584">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DBCD67">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highlight w:val="yellow"/>
                <w:u w:val="none"/>
                <w:lang w:val="en-US" w:eastAsia="zh-CN" w:bidi="ar"/>
              </w:rPr>
            </w:pPr>
            <w:r>
              <w:rPr>
                <w:rFonts w:hint="eastAsia" w:ascii="华文楷体" w:hAnsi="华文楷体" w:eastAsia="华文楷体" w:cs="华文楷体"/>
                <w:b w:val="0"/>
                <w:bCs w:val="0"/>
                <w:i w:val="0"/>
                <w:color w:val="FF0000"/>
                <w:kern w:val="0"/>
                <w:sz w:val="20"/>
                <w:szCs w:val="20"/>
                <w:highlight w:val="yellow"/>
                <w:u w:val="none"/>
                <w:lang w:val="en-US" w:eastAsia="zh-CN" w:bidi="ar"/>
              </w:rPr>
              <w:t>缓降功能</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ACB215">
            <w:pPr>
              <w:keepNext w:val="0"/>
              <w:keepLines w:val="0"/>
              <w:widowControl/>
              <w:suppressLineNumbers w:val="0"/>
              <w:jc w:val="center"/>
              <w:textAlignment w:val="center"/>
              <w:rPr>
                <w:rFonts w:hint="eastAsia" w:ascii="华文楷体" w:hAnsi="华文楷体" w:eastAsia="华文楷体" w:cs="华文楷体"/>
                <w:b w:val="0"/>
                <w:bCs w:val="0"/>
                <w:i w:val="0"/>
                <w:color w:val="FF0000"/>
                <w:sz w:val="20"/>
                <w:szCs w:val="20"/>
                <w:highlight w:val="yellow"/>
                <w:u w:val="none"/>
              </w:rPr>
            </w:pPr>
            <w:r>
              <w:rPr>
                <w:rFonts w:hint="eastAsia" w:ascii="华文楷体" w:hAnsi="华文楷体" w:eastAsia="华文楷体" w:cs="华文楷体"/>
                <w:b w:val="0"/>
                <w:bCs w:val="0"/>
                <w:i w:val="0"/>
                <w:color w:val="FF0000"/>
                <w:kern w:val="0"/>
                <w:sz w:val="20"/>
                <w:szCs w:val="20"/>
                <w:highlight w:val="yellow"/>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B94B1A0">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highlight w:val="yellow"/>
                <w:u w:val="none"/>
                <w:lang w:val="en-US" w:eastAsia="zh-CN" w:bidi="ar"/>
              </w:rPr>
            </w:pPr>
            <w:r>
              <w:rPr>
                <w:rFonts w:hint="eastAsia" w:ascii="华文楷体" w:hAnsi="华文楷体" w:eastAsia="华文楷体" w:cs="华文楷体"/>
                <w:b w:val="0"/>
                <w:bCs w:val="0"/>
                <w:i w:val="0"/>
                <w:color w:val="FF0000"/>
                <w:kern w:val="0"/>
                <w:sz w:val="20"/>
                <w:szCs w:val="20"/>
                <w:highlight w:val="yellow"/>
                <w:u w:val="none"/>
                <w:lang w:val="en-US" w:eastAsia="zh-CN" w:bidi="ar"/>
              </w:rPr>
              <w:t>设置缓降功能，下降速度不变，以保护易碎品</w:t>
            </w:r>
          </w:p>
        </w:tc>
      </w:tr>
      <w:tr w14:paraId="07B9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3" w:hRule="atLeast"/>
        </w:trPr>
        <w:tc>
          <w:tcPr>
            <w:tcW w:w="105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6CE0F">
            <w:pPr>
              <w:jc w:val="center"/>
              <w:rPr>
                <w:rFonts w:hint="eastAsia" w:ascii="华文楷体" w:hAnsi="华文楷体" w:eastAsia="华文楷体" w:cs="华文楷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D2AD97">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加压弹簧</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F55B4">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环</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D30A6E9">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6环或以上，直径不小于5mm</w:t>
            </w:r>
          </w:p>
        </w:tc>
      </w:tr>
      <w:tr w14:paraId="1E1F5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4"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9ECE4A">
            <w:pPr>
              <w:keepNext w:val="0"/>
              <w:keepLines w:val="0"/>
              <w:widowControl/>
              <w:suppressLineNumbers w:val="0"/>
              <w:jc w:val="center"/>
              <w:textAlignment w:val="center"/>
              <w:rPr>
                <w:rFonts w:hint="eastAsia" w:ascii="华文楷体" w:hAnsi="华文楷体" w:eastAsia="华文楷体" w:cs="华文楷体"/>
                <w:b/>
                <w:bCs w:val="0"/>
                <w:i w:val="0"/>
                <w:color w:val="000000"/>
                <w:sz w:val="20"/>
                <w:szCs w:val="20"/>
                <w:u w:val="none"/>
              </w:rPr>
            </w:pPr>
            <w:r>
              <w:rPr>
                <w:rFonts w:hint="eastAsia" w:ascii="华文楷体" w:hAnsi="华文楷体" w:eastAsia="华文楷体" w:cs="华文楷体"/>
                <w:b/>
                <w:bCs w:val="0"/>
                <w:i w:val="0"/>
                <w:color w:val="000000"/>
                <w:kern w:val="0"/>
                <w:sz w:val="20"/>
                <w:szCs w:val="20"/>
                <w:u w:val="none"/>
                <w:lang w:val="en-US" w:eastAsia="zh-CN" w:bidi="ar"/>
              </w:rPr>
              <w:t>车轮</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80EE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车轮类型（前/后）</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30FC82">
            <w:pPr>
              <w:keepNext w:val="0"/>
              <w:keepLines w:val="0"/>
              <w:widowControl/>
              <w:suppressLineNumbers w:val="0"/>
              <w:jc w:val="center"/>
              <w:textAlignment w:val="center"/>
              <w:rPr>
                <w:rFonts w:hint="eastAsia" w:ascii="华文楷体" w:hAnsi="华文楷体" w:eastAsia="华文楷体" w:cs="华文楷体"/>
                <w:b w:val="0"/>
                <w:bCs w:val="0"/>
                <w:i w:val="0"/>
                <w:color w:val="auto"/>
                <w:sz w:val="20"/>
                <w:szCs w:val="20"/>
                <w:u w:val="none"/>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DDF19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PU/耐磨尼龙</w:t>
            </w:r>
          </w:p>
        </w:tc>
      </w:tr>
      <w:tr w14:paraId="7ED98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8C05E">
            <w:pPr>
              <w:keepNext w:val="0"/>
              <w:keepLines w:val="0"/>
              <w:widowControl/>
              <w:suppressLineNumbers w:val="0"/>
              <w:jc w:val="center"/>
              <w:textAlignment w:val="center"/>
              <w:rPr>
                <w:rFonts w:hint="eastAsia" w:ascii="华文楷体" w:hAnsi="华文楷体" w:eastAsia="华文楷体" w:cs="华文楷体"/>
                <w:b/>
                <w:bCs w:val="0"/>
                <w:i w:val="0"/>
                <w:color w:val="FF0000"/>
                <w:sz w:val="20"/>
                <w:szCs w:val="20"/>
                <w:u w:val="none"/>
              </w:rPr>
            </w:pPr>
            <w:r>
              <w:rPr>
                <w:rFonts w:hint="eastAsia" w:ascii="华文楷体" w:hAnsi="华文楷体" w:eastAsia="华文楷体" w:cs="华文楷体"/>
                <w:b/>
                <w:bCs w:val="0"/>
                <w:i w:val="0"/>
                <w:color w:val="FF0000"/>
                <w:kern w:val="0"/>
                <w:sz w:val="20"/>
                <w:szCs w:val="20"/>
                <w:u w:val="none"/>
                <w:lang w:val="en-US" w:eastAsia="zh-CN" w:bidi="ar"/>
              </w:rPr>
              <w:t>车身材质</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68118">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车架材质</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D1DD3E">
            <w:pPr>
              <w:keepNext w:val="0"/>
              <w:keepLines w:val="0"/>
              <w:widowControl/>
              <w:suppressLineNumbers w:val="0"/>
              <w:jc w:val="center"/>
              <w:textAlignment w:val="center"/>
              <w:rPr>
                <w:rFonts w:hint="eastAsia" w:ascii="华文楷体" w:hAnsi="华文楷体" w:eastAsia="华文楷体" w:cs="华文楷体"/>
                <w:b w:val="0"/>
                <w:bCs w:val="0"/>
                <w:i w:val="0"/>
                <w:color w:val="FF0000"/>
                <w:sz w:val="20"/>
                <w:szCs w:val="20"/>
                <w:u w:val="none"/>
              </w:rPr>
            </w:pPr>
            <w:r>
              <w:rPr>
                <w:rFonts w:hint="eastAsia" w:ascii="华文楷体" w:hAnsi="华文楷体" w:eastAsia="华文楷体" w:cs="华文楷体"/>
                <w:b w:val="0"/>
                <w:bCs w:val="0"/>
                <w:i w:val="0"/>
                <w:color w:val="FF0000"/>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EB22920">
            <w:pPr>
              <w:keepNext w:val="0"/>
              <w:keepLines w:val="0"/>
              <w:widowControl/>
              <w:suppressLineNumbers w:val="0"/>
              <w:jc w:val="center"/>
              <w:textAlignment w:val="center"/>
              <w:rPr>
                <w:rFonts w:hint="eastAsia" w:ascii="华文楷体" w:hAnsi="华文楷体" w:eastAsia="华文楷体" w:cs="华文楷体"/>
                <w:b w:val="0"/>
                <w:bCs w:val="0"/>
                <w:i w:val="0"/>
                <w:color w:val="FF0000"/>
                <w:sz w:val="20"/>
                <w:szCs w:val="20"/>
                <w:u w:val="none"/>
                <w:lang w:val="en-US"/>
              </w:rPr>
            </w:pPr>
            <w:r>
              <w:rPr>
                <w:rFonts w:hint="eastAsia" w:ascii="华文楷体" w:hAnsi="华文楷体" w:eastAsia="华文楷体" w:cs="华文楷体"/>
                <w:b w:val="0"/>
                <w:bCs w:val="0"/>
                <w:i w:val="0"/>
                <w:color w:val="FF0000"/>
                <w:kern w:val="0"/>
                <w:sz w:val="20"/>
                <w:szCs w:val="20"/>
                <w:u w:val="none"/>
                <w:lang w:val="en-US" w:eastAsia="zh-CN" w:bidi="ar"/>
              </w:rPr>
              <w:t>材质Q235B,钢材表面需作防锈处理，不含涂层厚度</w:t>
            </w:r>
            <w:r>
              <w:rPr>
                <w:rFonts w:hint="eastAsia" w:ascii="华文楷体" w:hAnsi="华文楷体" w:eastAsia="华文楷体" w:cs="华文楷体"/>
                <w:b w:val="0"/>
                <w:bCs w:val="0"/>
                <w:color w:val="FF0000"/>
                <w:kern w:val="0"/>
                <w:sz w:val="20"/>
                <w:szCs w:val="20"/>
                <w:lang w:bidi="ar"/>
              </w:rPr>
              <w:t>≥</w:t>
            </w:r>
            <w:r>
              <w:rPr>
                <w:rFonts w:hint="eastAsia" w:ascii="华文楷体" w:hAnsi="华文楷体" w:eastAsia="华文楷体" w:cs="华文楷体"/>
                <w:b w:val="0"/>
                <w:bCs w:val="0"/>
                <w:i w:val="0"/>
                <w:color w:val="FF0000"/>
                <w:kern w:val="0"/>
                <w:sz w:val="20"/>
                <w:szCs w:val="20"/>
                <w:u w:val="none"/>
                <w:lang w:val="en-US" w:eastAsia="zh-CN" w:bidi="ar"/>
              </w:rPr>
              <w:t>3.5mm</w:t>
            </w:r>
          </w:p>
        </w:tc>
      </w:tr>
      <w:tr w14:paraId="3E56A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7"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D4A15">
            <w:pPr>
              <w:keepNext w:val="0"/>
              <w:keepLines w:val="0"/>
              <w:widowControl/>
              <w:suppressLineNumbers w:val="0"/>
              <w:jc w:val="center"/>
              <w:textAlignment w:val="center"/>
              <w:rPr>
                <w:rFonts w:hint="eastAsia" w:ascii="华文楷体" w:hAnsi="华文楷体" w:eastAsia="华文楷体" w:cs="华文楷体"/>
                <w:b/>
                <w:bCs w:val="0"/>
                <w:i w:val="0"/>
                <w:color w:val="000000"/>
                <w:kern w:val="0"/>
                <w:sz w:val="20"/>
                <w:szCs w:val="20"/>
                <w:u w:val="none"/>
                <w:lang w:val="en-US" w:eastAsia="zh-CN" w:bidi="ar"/>
              </w:rPr>
            </w:pPr>
            <w:r>
              <w:rPr>
                <w:rFonts w:hint="eastAsia" w:ascii="华文楷体" w:hAnsi="华文楷体" w:eastAsia="华文楷体" w:cs="华文楷体"/>
                <w:b/>
                <w:bCs w:val="0"/>
                <w:i w:val="0"/>
                <w:color w:val="000000"/>
                <w:kern w:val="0"/>
                <w:sz w:val="20"/>
                <w:szCs w:val="20"/>
                <w:u w:val="none"/>
                <w:lang w:val="en-US" w:eastAsia="zh-CN" w:bidi="ar"/>
              </w:rPr>
              <w:t>外观</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FF995">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表面处理/颜色</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819B00">
            <w:pPr>
              <w:keepNext w:val="0"/>
              <w:keepLines w:val="0"/>
              <w:widowControl/>
              <w:suppressLineNumbers w:val="0"/>
              <w:jc w:val="center"/>
              <w:textAlignment w:val="center"/>
              <w:rPr>
                <w:rFonts w:hint="eastAsia" w:ascii="华文楷体" w:hAnsi="华文楷体" w:eastAsia="华文楷体" w:cs="华文楷体"/>
                <w:b w:val="0"/>
                <w:bCs w:val="0"/>
                <w:i w:val="0"/>
                <w:color w:val="auto"/>
                <w:kern w:val="0"/>
                <w:sz w:val="20"/>
                <w:szCs w:val="20"/>
                <w:u w:val="none"/>
                <w:lang w:val="en-US" w:eastAsia="zh-CN" w:bidi="ar"/>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9ED63D3">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喷涂，根据需求定制颜色</w:t>
            </w:r>
          </w:p>
        </w:tc>
      </w:tr>
      <w:tr w14:paraId="6EF9B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0"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A2864">
            <w:pPr>
              <w:keepNext w:val="0"/>
              <w:keepLines w:val="0"/>
              <w:widowControl/>
              <w:suppressLineNumbers w:val="0"/>
              <w:jc w:val="center"/>
              <w:textAlignment w:val="center"/>
              <w:rPr>
                <w:rFonts w:hint="eastAsia" w:ascii="华文楷体" w:hAnsi="华文楷体" w:eastAsia="华文楷体" w:cs="华文楷体"/>
                <w:b/>
                <w:bCs w:val="0"/>
                <w:i w:val="0"/>
                <w:color w:val="000000"/>
                <w:kern w:val="0"/>
                <w:sz w:val="20"/>
                <w:szCs w:val="20"/>
                <w:u w:val="none"/>
                <w:lang w:val="en-US" w:eastAsia="zh-CN" w:bidi="ar"/>
              </w:rPr>
            </w:pPr>
            <w:r>
              <w:rPr>
                <w:rFonts w:hint="eastAsia" w:ascii="华文楷体" w:hAnsi="华文楷体" w:eastAsia="华文楷体" w:cs="华文楷体"/>
                <w:b/>
                <w:bCs w:val="0"/>
                <w:i w:val="0"/>
                <w:color w:val="000000"/>
                <w:kern w:val="0"/>
                <w:sz w:val="20"/>
                <w:szCs w:val="20"/>
                <w:u w:val="none"/>
                <w:lang w:val="en-US" w:eastAsia="zh-CN" w:bidi="ar"/>
              </w:rPr>
              <w:t>推拉杆</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0348C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推拉杆直径</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13BA1">
            <w:pPr>
              <w:keepNext w:val="0"/>
              <w:keepLines w:val="0"/>
              <w:widowControl/>
              <w:suppressLineNumbers w:val="0"/>
              <w:jc w:val="center"/>
              <w:textAlignment w:val="center"/>
              <w:rPr>
                <w:rFonts w:hint="eastAsia" w:ascii="华文楷体" w:hAnsi="华文楷体" w:eastAsia="华文楷体" w:cs="华文楷体"/>
                <w:b w:val="0"/>
                <w:bCs w:val="0"/>
                <w:i w:val="0"/>
                <w:color w:val="auto"/>
                <w:kern w:val="0"/>
                <w:sz w:val="20"/>
                <w:szCs w:val="20"/>
                <w:u w:val="none"/>
                <w:lang w:val="en-US" w:eastAsia="zh-CN" w:bidi="ar"/>
              </w:rPr>
            </w:pPr>
            <w:r>
              <w:rPr>
                <w:rFonts w:hint="eastAsia" w:ascii="华文楷体" w:hAnsi="华文楷体" w:eastAsia="华文楷体" w:cs="华文楷体"/>
                <w:b w:val="0"/>
                <w:bCs w:val="0"/>
                <w:i w:val="0"/>
                <w:color w:val="auto"/>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0964220F">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highlight w:val="yellow"/>
                <w:u w:val="none"/>
                <w:lang w:val="en-US" w:eastAsia="zh-CN" w:bidi="ar"/>
              </w:rPr>
              <w:t>尺寸≥25*25mm,壁厚≥3.0mm</w:t>
            </w:r>
          </w:p>
        </w:tc>
      </w:tr>
      <w:tr w14:paraId="1738D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4" w:hRule="atLeast"/>
        </w:trPr>
        <w:tc>
          <w:tcPr>
            <w:tcW w:w="1055"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463C01FB">
            <w:pPr>
              <w:keepNext w:val="0"/>
              <w:keepLines w:val="0"/>
              <w:widowControl/>
              <w:suppressLineNumbers w:val="0"/>
              <w:jc w:val="center"/>
              <w:textAlignment w:val="center"/>
              <w:rPr>
                <w:rFonts w:hint="eastAsia" w:ascii="华文楷体" w:hAnsi="华文楷体" w:eastAsia="华文楷体" w:cs="华文楷体"/>
                <w:b/>
                <w:bCs w:val="0"/>
                <w:i w:val="0"/>
                <w:color w:val="000000"/>
                <w:kern w:val="0"/>
                <w:sz w:val="20"/>
                <w:szCs w:val="20"/>
                <w:u w:val="none"/>
                <w:lang w:val="en-US" w:eastAsia="zh-CN" w:bidi="ar"/>
              </w:rPr>
            </w:pPr>
            <w:r>
              <w:rPr>
                <w:rFonts w:hint="eastAsia" w:ascii="华文楷体" w:hAnsi="华文楷体" w:eastAsia="华文楷体" w:cs="华文楷体"/>
                <w:b/>
                <w:bCs w:val="0"/>
                <w:i w:val="0"/>
                <w:color w:val="000000"/>
                <w:kern w:val="0"/>
                <w:sz w:val="20"/>
                <w:szCs w:val="20"/>
                <w:u w:val="none"/>
                <w:lang w:val="en-US" w:eastAsia="zh-CN" w:bidi="ar"/>
              </w:rPr>
              <w:t>叉板平行度</w:t>
            </w:r>
          </w:p>
        </w:tc>
        <w:tc>
          <w:tcPr>
            <w:tcW w:w="187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15367E3E">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叉板平行度要求</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97626D">
            <w:pPr>
              <w:keepNext w:val="0"/>
              <w:keepLines w:val="0"/>
              <w:widowControl/>
              <w:suppressLineNumbers w:val="0"/>
              <w:jc w:val="center"/>
              <w:textAlignment w:val="center"/>
              <w:rPr>
                <w:rFonts w:hint="eastAsia" w:ascii="华文楷体" w:hAnsi="华文楷体" w:eastAsia="华文楷体" w:cs="华文楷体"/>
                <w:b w:val="0"/>
                <w:bCs w:val="0"/>
                <w:i w:val="0"/>
                <w:color w:val="auto"/>
                <w:kern w:val="0"/>
                <w:sz w:val="20"/>
                <w:szCs w:val="20"/>
                <w:u w:val="none"/>
                <w:lang w:val="en-US" w:eastAsia="zh-CN" w:bidi="ar"/>
              </w:rPr>
            </w:pPr>
            <w:r>
              <w:rPr>
                <w:rFonts w:hint="eastAsia" w:ascii="华文楷体" w:hAnsi="华文楷体" w:eastAsia="华文楷体" w:cs="华文楷体"/>
                <w:b w:val="0"/>
                <w:bCs w:val="0"/>
                <w:i w:val="0"/>
                <w:color w:val="auto"/>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5B3631DA">
            <w:pPr>
              <w:keepNext w:val="0"/>
              <w:keepLines w:val="0"/>
              <w:widowControl/>
              <w:suppressLineNumbers w:val="0"/>
              <w:jc w:val="center"/>
              <w:textAlignment w:val="center"/>
              <w:rPr>
                <w:rFonts w:hint="eastAsia" w:ascii="华文楷体" w:hAnsi="华文楷体" w:eastAsia="华文楷体" w:cs="华文楷体"/>
                <w:b w:val="0"/>
                <w:bCs w:val="0"/>
                <w:i w:val="0"/>
                <w:color w:val="FF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交付时，常规宽、窄叉：两者允许不超过1cm公差</w:t>
            </w:r>
          </w:p>
          <w:p w14:paraId="246EFE04">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加长款：不超过1.2cm公差</w:t>
            </w:r>
          </w:p>
        </w:tc>
      </w:tr>
      <w:tr w14:paraId="16A6C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1055"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60267C64">
            <w:pPr>
              <w:keepNext w:val="0"/>
              <w:keepLines w:val="0"/>
              <w:widowControl/>
              <w:suppressLineNumbers w:val="0"/>
              <w:jc w:val="center"/>
              <w:textAlignment w:val="center"/>
              <w:rPr>
                <w:rFonts w:hint="eastAsia" w:ascii="华文楷体" w:hAnsi="华文楷体" w:eastAsia="华文楷体" w:cs="华文楷体"/>
                <w:b/>
                <w:bCs w:val="0"/>
                <w:i w:val="0"/>
                <w:color w:val="000000"/>
                <w:kern w:val="0"/>
                <w:sz w:val="20"/>
                <w:szCs w:val="20"/>
                <w:u w:val="none"/>
                <w:lang w:val="en-US" w:eastAsia="zh-CN" w:bidi="ar"/>
              </w:rPr>
            </w:pPr>
            <w:r>
              <w:rPr>
                <w:rFonts w:hint="eastAsia" w:ascii="华文楷体" w:hAnsi="华文楷体" w:eastAsia="华文楷体" w:cs="华文楷体"/>
                <w:b/>
                <w:bCs w:val="0"/>
                <w:i w:val="0"/>
                <w:color w:val="000000"/>
                <w:kern w:val="0"/>
                <w:sz w:val="20"/>
                <w:szCs w:val="20"/>
                <w:u w:val="none"/>
                <w:lang w:val="en-US" w:eastAsia="zh-CN" w:bidi="ar"/>
              </w:rPr>
              <w:t>车身加强</w:t>
            </w:r>
          </w:p>
        </w:tc>
        <w:tc>
          <w:tcPr>
            <w:tcW w:w="187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5150C5B5">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结构件按要求加强</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071D7F">
            <w:pPr>
              <w:keepNext w:val="0"/>
              <w:keepLines w:val="0"/>
              <w:widowControl/>
              <w:suppressLineNumbers w:val="0"/>
              <w:jc w:val="center"/>
              <w:textAlignment w:val="center"/>
              <w:rPr>
                <w:rFonts w:hint="eastAsia" w:ascii="华文楷体" w:hAnsi="华文楷体" w:eastAsia="华文楷体" w:cs="华文楷体"/>
                <w:b w:val="0"/>
                <w:bCs w:val="0"/>
                <w:i w:val="0"/>
                <w:color w:val="auto"/>
                <w:kern w:val="0"/>
                <w:sz w:val="20"/>
                <w:szCs w:val="20"/>
                <w:u w:val="none"/>
                <w:lang w:val="en-US" w:eastAsia="zh-CN" w:bidi="ar"/>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4BE14526">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三脚架及手柄需做加强</w:t>
            </w:r>
          </w:p>
        </w:tc>
      </w:tr>
      <w:tr w14:paraId="423CA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4" w:hRule="atLeast"/>
        </w:trPr>
        <w:tc>
          <w:tcPr>
            <w:tcW w:w="1055"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6ED83C">
            <w:pPr>
              <w:keepNext w:val="0"/>
              <w:keepLines w:val="0"/>
              <w:widowControl/>
              <w:suppressLineNumbers w:val="0"/>
              <w:jc w:val="center"/>
              <w:textAlignment w:val="center"/>
              <w:rPr>
                <w:rFonts w:hint="eastAsia" w:ascii="华文楷体" w:hAnsi="华文楷体" w:eastAsia="华文楷体" w:cs="华文楷体"/>
                <w:b/>
                <w:bCs w:val="0"/>
                <w:i w:val="0"/>
                <w:color w:val="000000"/>
                <w:sz w:val="20"/>
                <w:szCs w:val="20"/>
                <w:u w:val="none"/>
                <w:lang w:val="en-US" w:eastAsia="zh-CN"/>
              </w:rPr>
            </w:pPr>
            <w:r>
              <w:rPr>
                <w:rFonts w:hint="eastAsia" w:ascii="华文楷体" w:hAnsi="华文楷体" w:eastAsia="华文楷体" w:cs="华文楷体"/>
                <w:b/>
                <w:bCs w:val="0"/>
                <w:i w:val="0"/>
                <w:color w:val="000000"/>
                <w:sz w:val="20"/>
                <w:szCs w:val="20"/>
                <w:u w:val="none"/>
                <w:lang w:val="en-US" w:eastAsia="zh-CN"/>
              </w:rPr>
              <w:t>铭牌及交付</w:t>
            </w:r>
          </w:p>
        </w:tc>
        <w:tc>
          <w:tcPr>
            <w:tcW w:w="187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C843EA">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加装跨越资产铭牌</w:t>
            </w:r>
          </w:p>
        </w:tc>
        <w:tc>
          <w:tcPr>
            <w:tcW w:w="871"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2F3010EB">
            <w:pPr>
              <w:keepNext w:val="0"/>
              <w:keepLines w:val="0"/>
              <w:widowControl/>
              <w:suppressLineNumbers w:val="0"/>
              <w:jc w:val="center"/>
              <w:textAlignment w:val="center"/>
              <w:rPr>
                <w:rFonts w:hint="eastAsia" w:ascii="华文楷体" w:hAnsi="华文楷体" w:eastAsia="华文楷体" w:cs="华文楷体"/>
                <w:b w:val="0"/>
                <w:bCs w:val="0"/>
                <w:i w:val="0"/>
                <w:color w:val="auto"/>
                <w:sz w:val="20"/>
                <w:szCs w:val="20"/>
                <w:u w:val="none"/>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D4556DF">
            <w:pPr>
              <w:keepNext w:val="0"/>
              <w:keepLines w:val="0"/>
              <w:widowControl/>
              <w:suppressLineNumbers w:val="0"/>
              <w:jc w:val="both"/>
              <w:textAlignment w:val="center"/>
              <w:rPr>
                <w:rFonts w:hint="eastAsia" w:ascii="华文楷体" w:hAnsi="华文楷体" w:eastAsia="华文楷体" w:cs="华文楷体"/>
                <w:sz w:val="20"/>
                <w:szCs w:val="20"/>
                <w:lang w:val="en-US" w:eastAsia="zh-CN"/>
              </w:rPr>
            </w:pPr>
            <w:r>
              <w:rPr>
                <w:rFonts w:hint="eastAsia" w:ascii="华文楷体" w:hAnsi="华文楷体" w:eastAsia="华文楷体" w:cs="华文楷体"/>
                <w:sz w:val="20"/>
                <w:szCs w:val="20"/>
                <w:lang w:val="en-US" w:eastAsia="zh-CN"/>
              </w:rPr>
              <w:t>铆钉固定，参照如下</w:t>
            </w:r>
          </w:p>
          <w:p w14:paraId="257C4010">
            <w:pPr>
              <w:pStyle w:val="2"/>
              <w:jc w:val="center"/>
              <w:rPr>
                <w:rFonts w:hint="eastAsia" w:ascii="华文楷体" w:hAnsi="华文楷体" w:eastAsia="华文楷体" w:cs="华文楷体"/>
                <w:sz w:val="20"/>
                <w:szCs w:val="20"/>
                <w:lang w:val="en-US" w:eastAsia="zh-CN"/>
              </w:rPr>
            </w:pPr>
            <w:r>
              <w:rPr>
                <w:rFonts w:hint="eastAsia" w:ascii="华文楷体" w:hAnsi="华文楷体" w:eastAsia="华文楷体" w:cs="华文楷体"/>
                <w:sz w:val="20"/>
                <w:szCs w:val="20"/>
                <w:lang w:eastAsia="zh-CN"/>
              </w:rPr>
              <w:drawing>
                <wp:inline distT="0" distB="0" distL="114300" distR="114300">
                  <wp:extent cx="1889760" cy="1093470"/>
                  <wp:effectExtent l="0" t="0" r="2540" b="11430"/>
                  <wp:docPr id="1" name="图片 1" descr="612e294f3f27ec3c940698f5a2b9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12e294f3f27ec3c940698f5a2b9149"/>
                          <pic:cNvPicPr>
                            <a:picLocks noChangeAspect="1"/>
                          </pic:cNvPicPr>
                        </pic:nvPicPr>
                        <pic:blipFill>
                          <a:blip r:embed="rId11"/>
                          <a:stretch>
                            <a:fillRect/>
                          </a:stretch>
                        </pic:blipFill>
                        <pic:spPr>
                          <a:xfrm>
                            <a:off x="0" y="0"/>
                            <a:ext cx="1889760" cy="1093470"/>
                          </a:xfrm>
                          <a:prstGeom prst="rect">
                            <a:avLst/>
                          </a:prstGeom>
                        </pic:spPr>
                      </pic:pic>
                    </a:graphicData>
                  </a:graphic>
                </wp:inline>
              </w:drawing>
            </w:r>
          </w:p>
        </w:tc>
      </w:tr>
      <w:tr w14:paraId="374AD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5" w:hRule="atLeast"/>
        </w:trPr>
        <w:tc>
          <w:tcPr>
            <w:tcW w:w="1055"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DA1399">
            <w:pPr>
              <w:jc w:val="center"/>
              <w:rPr>
                <w:rFonts w:hint="eastAsia" w:ascii="华文楷体" w:hAnsi="华文楷体" w:eastAsia="华文楷体" w:cs="华文楷体"/>
                <w:b/>
                <w:i w:val="0"/>
                <w:color w:val="000000"/>
                <w:sz w:val="20"/>
                <w:szCs w:val="20"/>
                <w:u w:val="none"/>
              </w:rPr>
            </w:pPr>
          </w:p>
        </w:tc>
        <w:tc>
          <w:tcPr>
            <w:tcW w:w="187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6F45C2">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交付周期</w:t>
            </w:r>
          </w:p>
        </w:tc>
        <w:tc>
          <w:tcPr>
            <w:tcW w:w="871"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1038AF8D">
            <w:pPr>
              <w:keepNext w:val="0"/>
              <w:keepLines w:val="0"/>
              <w:widowControl/>
              <w:suppressLineNumbers w:val="0"/>
              <w:jc w:val="center"/>
              <w:textAlignment w:val="center"/>
              <w:rPr>
                <w:rFonts w:hint="eastAsia" w:ascii="华文楷体" w:hAnsi="华文楷体" w:eastAsia="华文楷体" w:cs="华文楷体"/>
                <w:b w:val="0"/>
                <w:bCs w:val="0"/>
                <w:i w:val="0"/>
                <w:color w:val="auto"/>
                <w:sz w:val="20"/>
                <w:szCs w:val="20"/>
                <w:u w:val="none"/>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7427965">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订单下达后10天内交货，合同到期前一个月需持续滚动备货1000台</w:t>
            </w:r>
          </w:p>
        </w:tc>
      </w:tr>
      <w:tr w14:paraId="5B688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4" w:hRule="atLeast"/>
        </w:trPr>
        <w:tc>
          <w:tcPr>
            <w:tcW w:w="1055"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2A4BD76B">
            <w:pPr>
              <w:jc w:val="center"/>
              <w:rPr>
                <w:rFonts w:hint="eastAsia" w:ascii="华文楷体" w:hAnsi="华文楷体" w:eastAsia="华文楷体" w:cs="华文楷体"/>
                <w:b w:val="0"/>
                <w:bCs w:val="0"/>
                <w:color w:val="000000"/>
                <w:kern w:val="2"/>
                <w:sz w:val="20"/>
                <w:szCs w:val="20"/>
                <w:lang w:val="en-US" w:eastAsia="zh-CN" w:bidi="ar-SA"/>
              </w:rPr>
            </w:pPr>
            <w:r>
              <w:rPr>
                <w:rFonts w:hint="eastAsia" w:ascii="华文楷体" w:hAnsi="华文楷体" w:eastAsia="华文楷体" w:cs="华文楷体"/>
                <w:b w:val="0"/>
                <w:bCs w:val="0"/>
                <w:color w:val="000000"/>
                <w:kern w:val="2"/>
                <w:sz w:val="20"/>
                <w:szCs w:val="20"/>
                <w:lang w:val="en-US" w:eastAsia="zh-CN" w:bidi="ar-SA"/>
              </w:rPr>
              <w:t>其它</w:t>
            </w:r>
          </w:p>
        </w:tc>
        <w:tc>
          <w:tcPr>
            <w:tcW w:w="1872"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78E1E52A">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000000"/>
                <w:kern w:val="0"/>
                <w:sz w:val="20"/>
                <w:szCs w:val="20"/>
                <w:u w:val="none"/>
                <w:lang w:val="en-US" w:eastAsia="zh-CN" w:bidi="ar"/>
              </w:rPr>
              <w:t>随车配件</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00879">
            <w:pPr>
              <w:keepNext w:val="0"/>
              <w:keepLines w:val="0"/>
              <w:widowControl/>
              <w:suppressLineNumbers w:val="0"/>
              <w:jc w:val="center"/>
              <w:textAlignment w:val="center"/>
              <w:rPr>
                <w:rFonts w:hint="eastAsia" w:ascii="华文楷体" w:hAnsi="华文楷体" w:eastAsia="华文楷体" w:cs="华文楷体"/>
                <w:b w:val="0"/>
                <w:bCs w:val="0"/>
                <w:i w:val="0"/>
                <w:color w:val="auto"/>
                <w:kern w:val="0"/>
                <w:sz w:val="20"/>
                <w:szCs w:val="20"/>
                <w:u w:val="none"/>
                <w:lang w:val="en-US" w:eastAsia="zh-CN" w:bidi="ar"/>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F7EAAC5">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i w:val="0"/>
                <w:color w:val="FF0000"/>
                <w:kern w:val="0"/>
                <w:sz w:val="20"/>
                <w:szCs w:val="20"/>
                <w:u w:val="none"/>
                <w:lang w:val="en-US" w:eastAsia="zh-CN" w:bidi="ar"/>
              </w:rPr>
              <w:t>配件齐全，不得有缺、少件情况</w:t>
            </w:r>
          </w:p>
        </w:tc>
      </w:tr>
      <w:tr w14:paraId="07B2D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3" w:hRule="atLeast"/>
        </w:trPr>
        <w:tc>
          <w:tcPr>
            <w:tcW w:w="105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DECB5E">
            <w:pPr>
              <w:jc w:val="center"/>
              <w:rPr>
                <w:rFonts w:hint="eastAsia" w:ascii="华文楷体" w:hAnsi="华文楷体" w:eastAsia="华文楷体" w:cs="华文楷体"/>
                <w:b w:val="0"/>
                <w:bCs w:val="0"/>
                <w:color w:val="000000"/>
                <w:kern w:val="2"/>
                <w:sz w:val="20"/>
                <w:szCs w:val="20"/>
                <w:lang w:val="en-US" w:eastAsia="zh-CN" w:bidi="ar-SA"/>
              </w:rPr>
            </w:pPr>
          </w:p>
        </w:tc>
        <w:tc>
          <w:tcPr>
            <w:tcW w:w="187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AD6874">
            <w:pPr>
              <w:keepNext w:val="0"/>
              <w:keepLines w:val="0"/>
              <w:widowControl/>
              <w:suppressLineNumbers w:val="0"/>
              <w:jc w:val="center"/>
              <w:textAlignment w:val="center"/>
              <w:rPr>
                <w:rFonts w:hint="eastAsia" w:ascii="华文楷体" w:hAnsi="华文楷体" w:eastAsia="华文楷体" w:cs="华文楷体"/>
                <w:b w:val="0"/>
                <w:bCs w:val="0"/>
                <w:color w:val="000000"/>
                <w:kern w:val="0"/>
                <w:sz w:val="20"/>
                <w:szCs w:val="20"/>
                <w:lang w:val="en-US" w:eastAsia="zh-CN" w:bidi="ar"/>
              </w:rPr>
            </w:pPr>
            <w:r>
              <w:rPr>
                <w:rFonts w:hint="eastAsia" w:ascii="华文楷体" w:hAnsi="华文楷体" w:eastAsia="华文楷体" w:cs="华文楷体"/>
                <w:b w:val="0"/>
                <w:bCs w:val="0"/>
                <w:color w:val="000000"/>
                <w:kern w:val="0"/>
                <w:sz w:val="20"/>
                <w:szCs w:val="20"/>
                <w:lang w:val="en-US" w:eastAsia="zh-CN" w:bidi="ar"/>
              </w:rPr>
              <w:t>单台包装</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82365">
            <w:pPr>
              <w:keepNext w:val="0"/>
              <w:keepLines w:val="0"/>
              <w:widowControl/>
              <w:suppressLineNumbers w:val="0"/>
              <w:jc w:val="center"/>
              <w:textAlignment w:val="center"/>
              <w:rPr>
                <w:rFonts w:hint="eastAsia" w:ascii="华文楷体" w:hAnsi="华文楷体" w:eastAsia="华文楷体" w:cs="华文楷体"/>
                <w:b w:val="0"/>
                <w:bCs w:val="0"/>
                <w:color w:val="auto"/>
                <w:kern w:val="0"/>
                <w:sz w:val="20"/>
                <w:szCs w:val="20"/>
                <w:lang w:bidi="ar"/>
              </w:rPr>
            </w:pPr>
            <w:r>
              <w:rPr>
                <w:rFonts w:hint="eastAsia" w:ascii="华文楷体" w:hAnsi="华文楷体" w:eastAsia="华文楷体" w:cs="华文楷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065F0553">
            <w:pPr>
              <w:keepNext w:val="0"/>
              <w:keepLines w:val="0"/>
              <w:widowControl/>
              <w:suppressLineNumbers w:val="0"/>
              <w:jc w:val="center"/>
              <w:textAlignment w:val="center"/>
              <w:rPr>
                <w:rFonts w:hint="eastAsia" w:ascii="华文楷体" w:hAnsi="华文楷体" w:eastAsia="华文楷体" w:cs="华文楷体"/>
                <w:b w:val="0"/>
                <w:bCs w:val="0"/>
                <w:i w:val="0"/>
                <w:color w:val="000000"/>
                <w:kern w:val="0"/>
                <w:sz w:val="20"/>
                <w:szCs w:val="20"/>
                <w:u w:val="none"/>
                <w:lang w:val="en-US" w:eastAsia="zh-CN" w:bidi="ar"/>
              </w:rPr>
            </w:pPr>
            <w:r>
              <w:rPr>
                <w:rFonts w:hint="eastAsia" w:ascii="华文楷体" w:hAnsi="华文楷体" w:eastAsia="华文楷体" w:cs="华文楷体"/>
                <w:b w:val="0"/>
                <w:bCs w:val="0"/>
                <w:color w:val="FF0000"/>
                <w:kern w:val="0"/>
                <w:sz w:val="20"/>
                <w:szCs w:val="20"/>
                <w:lang w:val="en-US" w:eastAsia="zh-CN" w:bidi="ar"/>
              </w:rPr>
              <w:t>建议运输中至少用防护纸皮+气泡膜对易损伤部位进行防护</w:t>
            </w:r>
          </w:p>
        </w:tc>
      </w:tr>
    </w:tbl>
    <w:p w14:paraId="49F05B28">
      <w:pPr>
        <w:numPr>
          <w:ilvl w:val="-1"/>
          <w:numId w:val="0"/>
        </w:numPr>
        <w:ind w:leftChars="0"/>
        <w:rPr>
          <w:rFonts w:hint="default" w:ascii="华文楷体" w:hAnsi="华文楷体" w:eastAsia="华文楷体" w:cs="华文楷体"/>
          <w:b w:val="0"/>
          <w:bCs w:val="0"/>
          <w:color w:val="000000"/>
          <w:spacing w:val="2"/>
          <w:position w:val="4"/>
          <w:sz w:val="20"/>
          <w:szCs w:val="20"/>
          <w:lang w:val="en-US" w:eastAsia="zh-CN"/>
        </w:rPr>
      </w:pPr>
    </w:p>
    <w:p w14:paraId="3701A8F1">
      <w:pPr>
        <w:numPr>
          <w:ilvl w:val="0"/>
          <w:numId w:val="0"/>
        </w:numPr>
        <w:spacing w:line="240" w:lineRule="auto"/>
        <w:ind w:right="0" w:rightChars="0"/>
        <w:rPr>
          <w:rFonts w:hint="eastAsia" w:ascii="华文楷体" w:hAnsi="华文楷体" w:eastAsia="华文楷体" w:cs="华文楷体"/>
          <w:b w:val="0"/>
          <w:bCs w:val="0"/>
          <w:color w:val="000000"/>
          <w:spacing w:val="2"/>
          <w:kern w:val="0"/>
          <w:position w:val="4"/>
          <w:sz w:val="20"/>
          <w:szCs w:val="20"/>
          <w:lang w:eastAsia="zh-CN" w:bidi="ar"/>
        </w:rPr>
      </w:pPr>
      <w:r>
        <w:rPr>
          <w:rFonts w:hint="eastAsia" w:ascii="华文楷体" w:hAnsi="华文楷体" w:eastAsia="华文楷体" w:cs="华文楷体"/>
          <w:b w:val="0"/>
          <w:bCs w:val="0"/>
          <w:color w:val="000000"/>
          <w:spacing w:val="2"/>
          <w:kern w:val="0"/>
          <w:position w:val="4"/>
          <w:sz w:val="20"/>
          <w:szCs w:val="20"/>
          <w:shd w:val="clear"/>
          <w:lang w:val="en-US" w:eastAsia="zh-CN" w:bidi="ar"/>
        </w:rPr>
        <w:t>2）</w:t>
      </w:r>
      <w:r>
        <w:rPr>
          <w:rFonts w:hint="eastAsia" w:ascii="华文楷体" w:hAnsi="华文楷体" w:eastAsia="华文楷体" w:cs="华文楷体"/>
          <w:b w:val="0"/>
          <w:bCs w:val="0"/>
          <w:color w:val="000000"/>
          <w:spacing w:val="2"/>
          <w:kern w:val="0"/>
          <w:position w:val="4"/>
          <w:sz w:val="20"/>
          <w:szCs w:val="20"/>
          <w:shd w:val="clear"/>
          <w:lang w:eastAsia="zh-CN" w:bidi="ar"/>
        </w:rPr>
        <w:t>允收标准与缺陷等级</w:t>
      </w:r>
    </w:p>
    <w:tbl>
      <w:tblPr>
        <w:tblStyle w:val="10"/>
        <w:tblW w:w="10643" w:type="dxa"/>
        <w:jc w:val="center"/>
        <w:tblLayout w:type="autofit"/>
        <w:tblCellMar>
          <w:top w:w="0" w:type="dxa"/>
          <w:left w:w="108" w:type="dxa"/>
          <w:bottom w:w="0" w:type="dxa"/>
          <w:right w:w="108" w:type="dxa"/>
        </w:tblCellMar>
      </w:tblPr>
      <w:tblGrid>
        <w:gridCol w:w="1126"/>
        <w:gridCol w:w="1424"/>
        <w:gridCol w:w="5496"/>
        <w:gridCol w:w="1364"/>
        <w:gridCol w:w="1233"/>
      </w:tblGrid>
      <w:tr w14:paraId="24A63A52">
        <w:tblPrEx>
          <w:tblCellMar>
            <w:top w:w="0" w:type="dxa"/>
            <w:left w:w="108" w:type="dxa"/>
            <w:bottom w:w="0" w:type="dxa"/>
            <w:right w:w="108" w:type="dxa"/>
          </w:tblCellMar>
        </w:tblPrEx>
        <w:trPr>
          <w:trHeight w:val="651" w:hRule="atLeast"/>
          <w:jc w:val="center"/>
        </w:trPr>
        <w:tc>
          <w:tcPr>
            <w:tcW w:w="2550" w:type="dxa"/>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14:paraId="3DCD9202">
            <w:pPr>
              <w:widowControl/>
              <w:jc w:val="center"/>
              <w:rPr>
                <w:rFonts w:hint="eastAsia" w:ascii="华文楷体" w:hAnsi="华文楷体" w:eastAsia="华文楷体" w:cs="华文楷体"/>
                <w:color w:val="FF0000"/>
                <w:kern w:val="0"/>
                <w:szCs w:val="21"/>
              </w:rPr>
            </w:pPr>
            <w:r>
              <w:rPr>
                <w:rFonts w:hint="eastAsia" w:ascii="华文楷体" w:hAnsi="华文楷体" w:eastAsia="华文楷体" w:cs="华文楷体"/>
                <w:color w:val="FF0000"/>
                <w:kern w:val="0"/>
                <w:szCs w:val="21"/>
              </w:rPr>
              <w:t>检验项目</w:t>
            </w:r>
          </w:p>
        </w:tc>
        <w:tc>
          <w:tcPr>
            <w:tcW w:w="549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875A8EE">
            <w:pPr>
              <w:widowControl/>
              <w:jc w:val="center"/>
              <w:rPr>
                <w:rFonts w:hint="eastAsia" w:ascii="华文楷体" w:hAnsi="华文楷体" w:eastAsia="华文楷体" w:cs="华文楷体"/>
                <w:color w:val="FF0000"/>
                <w:kern w:val="0"/>
                <w:szCs w:val="21"/>
              </w:rPr>
            </w:pPr>
            <w:r>
              <w:rPr>
                <w:rFonts w:hint="eastAsia" w:ascii="华文楷体" w:hAnsi="华文楷体" w:eastAsia="华文楷体" w:cs="华文楷体"/>
                <w:color w:val="FF0000"/>
                <w:kern w:val="0"/>
                <w:szCs w:val="21"/>
              </w:rPr>
              <w:t>标准要求</w:t>
            </w:r>
          </w:p>
        </w:tc>
        <w:tc>
          <w:tcPr>
            <w:tcW w:w="1364"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07A5993">
            <w:pPr>
              <w:widowControl/>
              <w:jc w:val="center"/>
              <w:rPr>
                <w:rFonts w:hint="eastAsia" w:ascii="华文楷体" w:hAnsi="华文楷体" w:eastAsia="华文楷体" w:cs="华文楷体"/>
                <w:color w:val="FF0000"/>
                <w:kern w:val="0"/>
                <w:szCs w:val="21"/>
              </w:rPr>
            </w:pPr>
            <w:r>
              <w:rPr>
                <w:rFonts w:hint="eastAsia" w:ascii="华文楷体" w:hAnsi="华文楷体" w:eastAsia="华文楷体" w:cs="华文楷体"/>
                <w:color w:val="FF0000"/>
                <w:kern w:val="0"/>
                <w:szCs w:val="21"/>
              </w:rPr>
              <w:t>检测方式</w:t>
            </w:r>
          </w:p>
        </w:tc>
        <w:tc>
          <w:tcPr>
            <w:tcW w:w="1233"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7392FE9">
            <w:pPr>
              <w:widowControl/>
              <w:jc w:val="center"/>
              <w:rPr>
                <w:rFonts w:hint="eastAsia" w:ascii="华文楷体" w:hAnsi="华文楷体" w:eastAsia="华文楷体" w:cs="华文楷体"/>
                <w:color w:val="FF0000"/>
                <w:kern w:val="0"/>
                <w:szCs w:val="21"/>
              </w:rPr>
            </w:pPr>
            <w:r>
              <w:rPr>
                <w:rFonts w:hint="eastAsia" w:ascii="华文楷体" w:hAnsi="华文楷体" w:eastAsia="华文楷体" w:cs="华文楷体"/>
                <w:color w:val="FF0000"/>
                <w:kern w:val="0"/>
                <w:szCs w:val="21"/>
              </w:rPr>
              <w:t>缺陷等级</w:t>
            </w:r>
          </w:p>
        </w:tc>
      </w:tr>
      <w:tr w14:paraId="232AB281">
        <w:tblPrEx>
          <w:tblCellMar>
            <w:top w:w="0" w:type="dxa"/>
            <w:left w:w="108" w:type="dxa"/>
            <w:bottom w:w="0" w:type="dxa"/>
            <w:right w:w="108" w:type="dxa"/>
          </w:tblCellMar>
        </w:tblPrEx>
        <w:trPr>
          <w:trHeight w:val="511" w:hRule="atLeast"/>
          <w:jc w:val="center"/>
        </w:trPr>
        <w:tc>
          <w:tcPr>
            <w:tcW w:w="1126" w:type="dxa"/>
            <w:vMerge w:val="restart"/>
            <w:tcBorders>
              <w:top w:val="single" w:color="auto" w:sz="4" w:space="0"/>
              <w:left w:val="single" w:color="auto" w:sz="4" w:space="0"/>
              <w:right w:val="single" w:color="auto" w:sz="4" w:space="0"/>
            </w:tcBorders>
            <w:vAlign w:val="center"/>
          </w:tcPr>
          <w:p w14:paraId="786381A7">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外观</w:t>
            </w:r>
          </w:p>
        </w:tc>
        <w:tc>
          <w:tcPr>
            <w:tcW w:w="1424" w:type="dxa"/>
            <w:tcBorders>
              <w:top w:val="single" w:color="000000" w:sz="4" w:space="0"/>
              <w:left w:val="single" w:color="auto" w:sz="4" w:space="0"/>
              <w:bottom w:val="single" w:color="auto" w:sz="4" w:space="0"/>
              <w:right w:val="single" w:color="000000" w:sz="4" w:space="0"/>
            </w:tcBorders>
            <w:vAlign w:val="center"/>
          </w:tcPr>
          <w:p w14:paraId="37DB07EB">
            <w:pPr>
              <w:widowControl/>
              <w:numPr>
                <w:ilvl w:val="0"/>
                <w:numId w:val="0"/>
              </w:numPr>
              <w:jc w:val="center"/>
              <w:textAlignment w:val="top"/>
              <w:rPr>
                <w:rFonts w:hint="eastAsia" w:ascii="华文楷体" w:hAnsi="华文楷体" w:eastAsia="华文楷体" w:cs="华文楷体"/>
                <w:color w:val="FF0000"/>
                <w:szCs w:val="21"/>
                <w:lang w:val="en-US" w:eastAsia="zh-CN"/>
              </w:rPr>
            </w:pPr>
            <w:r>
              <w:rPr>
                <w:rFonts w:hint="eastAsia" w:ascii="华文楷体" w:hAnsi="华文楷体" w:eastAsia="华文楷体" w:cs="华文楷体"/>
                <w:color w:val="FF0000"/>
                <w:szCs w:val="21"/>
                <w:lang w:val="en-US" w:eastAsia="zh-CN"/>
              </w:rPr>
              <w:t>漆面/外观</w:t>
            </w:r>
          </w:p>
        </w:tc>
        <w:tc>
          <w:tcPr>
            <w:tcW w:w="5496" w:type="dxa"/>
            <w:tcBorders>
              <w:top w:val="single" w:color="000000" w:sz="4" w:space="0"/>
              <w:left w:val="single" w:color="000000" w:sz="4" w:space="0"/>
              <w:bottom w:val="single" w:color="auto" w:sz="4" w:space="0"/>
              <w:right w:val="single" w:color="000000" w:sz="4" w:space="0"/>
            </w:tcBorders>
            <w:vAlign w:val="center"/>
          </w:tcPr>
          <w:p w14:paraId="07154DAC">
            <w:pPr>
              <w:widowControl/>
              <w:numPr>
                <w:ilvl w:val="0"/>
                <w:numId w:val="0"/>
              </w:numPr>
              <w:jc w:val="left"/>
              <w:textAlignment w:val="top"/>
              <w:rPr>
                <w:rFonts w:hint="eastAsia" w:ascii="华文楷体" w:hAnsi="华文楷体" w:eastAsia="华文楷体" w:cs="华文楷体"/>
                <w:color w:val="FF0000"/>
                <w:szCs w:val="21"/>
                <w:lang w:val="en-US" w:eastAsia="zh-CN"/>
              </w:rPr>
            </w:pPr>
            <w:r>
              <w:rPr>
                <w:rFonts w:hint="eastAsia" w:ascii="华文楷体" w:hAnsi="华文楷体" w:eastAsia="华文楷体" w:cs="华文楷体"/>
                <w:color w:val="FF0000"/>
                <w:szCs w:val="21"/>
                <w:lang w:val="en-US" w:eastAsia="zh-CN"/>
              </w:rPr>
              <w:t>1、出厂时喷漆表面光滑平整，整体颜色与订单要求一致，喷涂层无明显掉漆、剥落；</w:t>
            </w:r>
          </w:p>
          <w:p w14:paraId="33844196">
            <w:pPr>
              <w:widowControl/>
              <w:numPr>
                <w:ilvl w:val="0"/>
                <w:numId w:val="0"/>
              </w:numPr>
              <w:jc w:val="left"/>
              <w:textAlignment w:val="top"/>
              <w:rPr>
                <w:rFonts w:hint="eastAsia" w:ascii="华文楷体" w:hAnsi="华文楷体" w:eastAsia="华文楷体" w:cs="华文楷体"/>
                <w:color w:val="FF0000"/>
                <w:szCs w:val="21"/>
                <w:lang w:val="en-US" w:eastAsia="zh-CN"/>
              </w:rPr>
            </w:pPr>
            <w:r>
              <w:rPr>
                <w:rFonts w:hint="eastAsia" w:ascii="华文楷体" w:hAnsi="华文楷体" w:eastAsia="华文楷体" w:cs="华文楷体"/>
                <w:color w:val="FF0000"/>
                <w:szCs w:val="21"/>
                <w:lang w:val="en-US" w:eastAsia="zh-CN"/>
              </w:rPr>
              <w:t>2、考虑到大件重货长途运输的客观情况，如在运输中，因物流原因导致漆面受损，2cm²内为合格，但不得有导致产品被撞击变形的情况，否则视为不可接受；</w:t>
            </w:r>
          </w:p>
          <w:p w14:paraId="5230BB19">
            <w:pPr>
              <w:widowControl/>
              <w:numPr>
                <w:ilvl w:val="0"/>
                <w:numId w:val="0"/>
              </w:numPr>
              <w:jc w:val="left"/>
              <w:textAlignment w:val="top"/>
              <w:rPr>
                <w:rFonts w:hint="eastAsia" w:ascii="华文楷体" w:hAnsi="华文楷体" w:eastAsia="华文楷体" w:cs="华文楷体"/>
                <w:lang w:val="en-US" w:eastAsia="zh-CN"/>
              </w:rPr>
            </w:pPr>
            <w:r>
              <w:rPr>
                <w:rFonts w:hint="eastAsia" w:ascii="华文楷体" w:hAnsi="华文楷体" w:eastAsia="华文楷体" w:cs="华文楷体"/>
                <w:color w:val="FF0000"/>
                <w:szCs w:val="21"/>
                <w:lang w:val="en-US" w:eastAsia="zh-CN"/>
              </w:rPr>
              <w:t>3、运输导致的2cm²以上漆面受损，由乙方上门修复。</w:t>
            </w:r>
          </w:p>
        </w:tc>
        <w:tc>
          <w:tcPr>
            <w:tcW w:w="1364" w:type="dxa"/>
            <w:tcBorders>
              <w:top w:val="single" w:color="000000" w:sz="4" w:space="0"/>
              <w:left w:val="single" w:color="000000" w:sz="4" w:space="0"/>
              <w:bottom w:val="single" w:color="000000" w:sz="4" w:space="0"/>
              <w:right w:val="single" w:color="000000" w:sz="4" w:space="0"/>
            </w:tcBorders>
            <w:vAlign w:val="center"/>
          </w:tcPr>
          <w:p w14:paraId="77C6C32A">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07BDA028">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MIN</w:t>
            </w:r>
          </w:p>
        </w:tc>
      </w:tr>
      <w:tr w14:paraId="0DE9C767">
        <w:tblPrEx>
          <w:tblCellMar>
            <w:top w:w="0" w:type="dxa"/>
            <w:left w:w="108" w:type="dxa"/>
            <w:bottom w:w="0" w:type="dxa"/>
            <w:right w:w="108" w:type="dxa"/>
          </w:tblCellMar>
        </w:tblPrEx>
        <w:trPr>
          <w:trHeight w:val="528" w:hRule="atLeast"/>
          <w:jc w:val="center"/>
        </w:trPr>
        <w:tc>
          <w:tcPr>
            <w:tcW w:w="1126" w:type="dxa"/>
            <w:vMerge w:val="continue"/>
            <w:tcBorders>
              <w:left w:val="single" w:color="auto" w:sz="4" w:space="0"/>
              <w:right w:val="single" w:color="auto" w:sz="4" w:space="0"/>
            </w:tcBorders>
            <w:vAlign w:val="center"/>
          </w:tcPr>
          <w:p w14:paraId="633A60B5">
            <w:pPr>
              <w:widowControl/>
              <w:jc w:val="center"/>
              <w:textAlignment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6999327D">
            <w:pPr>
              <w:widowControl/>
              <w:jc w:val="center"/>
              <w:textAlignment w:val="center"/>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车身</w:t>
            </w:r>
          </w:p>
        </w:tc>
        <w:tc>
          <w:tcPr>
            <w:tcW w:w="5496" w:type="dxa"/>
            <w:tcBorders>
              <w:top w:val="single" w:color="000000" w:sz="4" w:space="0"/>
              <w:left w:val="single" w:color="000000" w:sz="4" w:space="0"/>
              <w:bottom w:val="single" w:color="auto" w:sz="4" w:space="0"/>
              <w:right w:val="single" w:color="000000" w:sz="4" w:space="0"/>
            </w:tcBorders>
            <w:vAlign w:val="center"/>
          </w:tcPr>
          <w:p w14:paraId="0ED49D90">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表面不能有裂</w:t>
            </w:r>
            <w:r>
              <w:rPr>
                <w:rFonts w:hint="eastAsia" w:ascii="华文楷体" w:hAnsi="华文楷体" w:eastAsia="华文楷体" w:cs="华文楷体"/>
                <w:color w:val="FF0000"/>
                <w:kern w:val="0"/>
                <w:szCs w:val="21"/>
                <w:shd w:val="clear" w:color="auto" w:fill="FFFFFF"/>
                <w:lang w:val="en-US" w:eastAsia="zh-CN" w:bidi="ar"/>
              </w:rPr>
              <w:t>痕</w:t>
            </w:r>
            <w:r>
              <w:rPr>
                <w:rFonts w:hint="eastAsia" w:ascii="华文楷体" w:hAnsi="华文楷体" w:eastAsia="华文楷体" w:cs="华文楷体"/>
                <w:color w:val="FF0000"/>
                <w:kern w:val="0"/>
                <w:szCs w:val="21"/>
                <w:shd w:val="clear" w:color="auto" w:fill="FFFFFF"/>
                <w:lang w:bidi="ar"/>
              </w:rPr>
              <w:t>、缺损、变形等问题</w:t>
            </w:r>
          </w:p>
        </w:tc>
        <w:tc>
          <w:tcPr>
            <w:tcW w:w="1364" w:type="dxa"/>
            <w:tcBorders>
              <w:top w:val="single" w:color="000000" w:sz="4" w:space="0"/>
              <w:left w:val="single" w:color="000000" w:sz="4" w:space="0"/>
              <w:bottom w:val="single" w:color="000000" w:sz="4" w:space="0"/>
              <w:right w:val="single" w:color="000000" w:sz="4" w:space="0"/>
            </w:tcBorders>
            <w:vAlign w:val="center"/>
          </w:tcPr>
          <w:p w14:paraId="4718EA89">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p w14:paraId="5A939347">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29E83AC4">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51792539">
        <w:tblPrEx>
          <w:tblCellMar>
            <w:top w:w="0" w:type="dxa"/>
            <w:left w:w="108" w:type="dxa"/>
            <w:bottom w:w="0" w:type="dxa"/>
            <w:right w:w="108" w:type="dxa"/>
          </w:tblCellMar>
        </w:tblPrEx>
        <w:trPr>
          <w:trHeight w:val="518" w:hRule="atLeast"/>
          <w:jc w:val="center"/>
        </w:trPr>
        <w:tc>
          <w:tcPr>
            <w:tcW w:w="1126" w:type="dxa"/>
            <w:vMerge w:val="continue"/>
            <w:tcBorders>
              <w:left w:val="single" w:color="auto" w:sz="4" w:space="0"/>
              <w:right w:val="single" w:color="auto" w:sz="4" w:space="0"/>
            </w:tcBorders>
            <w:vAlign w:val="center"/>
          </w:tcPr>
          <w:p w14:paraId="3429287B">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0EDB0598">
            <w:pPr>
              <w:jc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脏污</w:t>
            </w:r>
          </w:p>
        </w:tc>
        <w:tc>
          <w:tcPr>
            <w:tcW w:w="5496" w:type="dxa"/>
            <w:tcBorders>
              <w:top w:val="single" w:color="auto" w:sz="4" w:space="0"/>
              <w:left w:val="single" w:color="auto" w:sz="4" w:space="0"/>
              <w:bottom w:val="single" w:color="auto" w:sz="4" w:space="0"/>
              <w:right w:val="single" w:color="auto" w:sz="4" w:space="0"/>
            </w:tcBorders>
            <w:vAlign w:val="center"/>
          </w:tcPr>
          <w:p w14:paraId="0A5ED948">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表面整洁，不得有明显的脏污</w:t>
            </w:r>
          </w:p>
        </w:tc>
        <w:tc>
          <w:tcPr>
            <w:tcW w:w="1364" w:type="dxa"/>
            <w:tcBorders>
              <w:top w:val="single" w:color="000000" w:sz="4" w:space="0"/>
              <w:left w:val="single" w:color="auto" w:sz="4" w:space="0"/>
              <w:bottom w:val="single" w:color="000000" w:sz="4" w:space="0"/>
              <w:right w:val="single" w:color="000000" w:sz="4" w:space="0"/>
            </w:tcBorders>
            <w:vAlign w:val="center"/>
          </w:tcPr>
          <w:p w14:paraId="1B083E9D">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p w14:paraId="32701934">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1B34FE34">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MIN</w:t>
            </w:r>
          </w:p>
        </w:tc>
      </w:tr>
      <w:tr w14:paraId="36D15679">
        <w:tblPrEx>
          <w:tblCellMar>
            <w:top w:w="0" w:type="dxa"/>
            <w:left w:w="108" w:type="dxa"/>
            <w:bottom w:w="0" w:type="dxa"/>
            <w:right w:w="108" w:type="dxa"/>
          </w:tblCellMar>
        </w:tblPrEx>
        <w:trPr>
          <w:trHeight w:val="708" w:hRule="atLeast"/>
          <w:jc w:val="center"/>
        </w:trPr>
        <w:tc>
          <w:tcPr>
            <w:tcW w:w="1126" w:type="dxa"/>
            <w:vMerge w:val="continue"/>
            <w:tcBorders>
              <w:left w:val="single" w:color="auto" w:sz="4" w:space="0"/>
              <w:right w:val="single" w:color="auto" w:sz="4" w:space="0"/>
            </w:tcBorders>
            <w:vAlign w:val="center"/>
          </w:tcPr>
          <w:p w14:paraId="131C1835">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347B4B54">
            <w:pPr>
              <w:jc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后道处理</w:t>
            </w:r>
          </w:p>
        </w:tc>
        <w:tc>
          <w:tcPr>
            <w:tcW w:w="5496" w:type="dxa"/>
            <w:tcBorders>
              <w:top w:val="single" w:color="auto" w:sz="4" w:space="0"/>
              <w:left w:val="single" w:color="auto" w:sz="4" w:space="0"/>
              <w:bottom w:val="single" w:color="auto" w:sz="4" w:space="0"/>
              <w:right w:val="single" w:color="auto" w:sz="4" w:space="0"/>
            </w:tcBorders>
            <w:vAlign w:val="center"/>
          </w:tcPr>
          <w:p w14:paraId="3C734C51">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szCs w:val="21"/>
              </w:rPr>
              <w:t>不得有毛刺</w:t>
            </w:r>
            <w:r>
              <w:rPr>
                <w:rFonts w:hint="eastAsia" w:ascii="华文楷体" w:hAnsi="华文楷体" w:eastAsia="华文楷体" w:cs="华文楷体"/>
                <w:color w:val="FF0000"/>
                <w:szCs w:val="21"/>
                <w:lang w:eastAsia="zh-CN"/>
              </w:rPr>
              <w:t>、</w:t>
            </w:r>
            <w:r>
              <w:rPr>
                <w:rFonts w:hint="eastAsia" w:ascii="华文楷体" w:hAnsi="华文楷体" w:eastAsia="华文楷体" w:cs="华文楷体"/>
                <w:color w:val="FF0000"/>
                <w:szCs w:val="21"/>
              </w:rPr>
              <w:t>尖角</w:t>
            </w:r>
            <w:r>
              <w:rPr>
                <w:rFonts w:hint="eastAsia" w:ascii="华文楷体" w:hAnsi="华文楷体" w:eastAsia="华文楷体" w:cs="华文楷体"/>
                <w:color w:val="FF0000"/>
                <w:szCs w:val="21"/>
                <w:lang w:eastAsia="zh-CN"/>
              </w:rPr>
              <w:t>、</w:t>
            </w:r>
            <w:r>
              <w:rPr>
                <w:rFonts w:hint="eastAsia" w:ascii="华文楷体" w:hAnsi="华文楷体" w:eastAsia="华文楷体" w:cs="华文楷体"/>
                <w:color w:val="FF0000"/>
                <w:szCs w:val="21"/>
                <w:lang w:val="en-US" w:eastAsia="zh-CN"/>
              </w:rPr>
              <w:t>批锋</w:t>
            </w:r>
            <w:r>
              <w:rPr>
                <w:rFonts w:hint="eastAsia" w:ascii="华文楷体" w:hAnsi="华文楷体" w:eastAsia="华文楷体" w:cs="华文楷体"/>
                <w:color w:val="FF0000"/>
                <w:szCs w:val="21"/>
              </w:rPr>
              <w:t>等</w:t>
            </w:r>
            <w:r>
              <w:rPr>
                <w:rFonts w:hint="eastAsia" w:ascii="华文楷体" w:hAnsi="华文楷体" w:eastAsia="华文楷体" w:cs="华文楷体"/>
                <w:color w:val="FF0000"/>
                <w:szCs w:val="21"/>
                <w:lang w:val="en-US" w:eastAsia="zh-CN"/>
              </w:rPr>
              <w:t>安全隐患</w:t>
            </w:r>
          </w:p>
        </w:tc>
        <w:tc>
          <w:tcPr>
            <w:tcW w:w="1364" w:type="dxa"/>
            <w:tcBorders>
              <w:top w:val="single" w:color="000000" w:sz="4" w:space="0"/>
              <w:left w:val="single" w:color="auto" w:sz="4" w:space="0"/>
              <w:bottom w:val="single" w:color="000000" w:sz="4" w:space="0"/>
              <w:right w:val="single" w:color="000000" w:sz="4" w:space="0"/>
            </w:tcBorders>
            <w:vAlign w:val="center"/>
          </w:tcPr>
          <w:p w14:paraId="162EACD6">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3C3E2706">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MIN</w:t>
            </w:r>
          </w:p>
        </w:tc>
      </w:tr>
      <w:tr w14:paraId="380F80F1">
        <w:tblPrEx>
          <w:tblCellMar>
            <w:top w:w="0" w:type="dxa"/>
            <w:left w:w="108" w:type="dxa"/>
            <w:bottom w:w="0" w:type="dxa"/>
            <w:right w:w="108" w:type="dxa"/>
          </w:tblCellMar>
        </w:tblPrEx>
        <w:trPr>
          <w:trHeight w:val="601" w:hRule="atLeast"/>
          <w:jc w:val="center"/>
        </w:trPr>
        <w:tc>
          <w:tcPr>
            <w:tcW w:w="1126" w:type="dxa"/>
            <w:vMerge w:val="continue"/>
            <w:tcBorders>
              <w:left w:val="single" w:color="auto" w:sz="4" w:space="0"/>
              <w:right w:val="single" w:color="auto" w:sz="4" w:space="0"/>
            </w:tcBorders>
            <w:vAlign w:val="center"/>
          </w:tcPr>
          <w:p w14:paraId="167D4573">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56918BA4">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色差</w:t>
            </w:r>
          </w:p>
        </w:tc>
        <w:tc>
          <w:tcPr>
            <w:tcW w:w="5496" w:type="dxa"/>
            <w:tcBorders>
              <w:top w:val="single" w:color="auto" w:sz="4" w:space="0"/>
              <w:left w:val="single" w:color="auto" w:sz="4" w:space="0"/>
              <w:bottom w:val="single" w:color="auto" w:sz="4" w:space="0"/>
              <w:right w:val="single" w:color="auto" w:sz="4" w:space="0"/>
            </w:tcBorders>
            <w:vAlign w:val="center"/>
          </w:tcPr>
          <w:p w14:paraId="7709A2BB">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颜色不能有明显差异，接近度要达到8</w:t>
            </w:r>
            <w:r>
              <w:rPr>
                <w:rFonts w:hint="eastAsia" w:ascii="华文楷体" w:hAnsi="华文楷体" w:eastAsia="华文楷体" w:cs="华文楷体"/>
                <w:color w:val="FF0000"/>
                <w:kern w:val="0"/>
                <w:szCs w:val="21"/>
                <w:shd w:val="clear" w:color="auto" w:fill="FFFFFF"/>
                <w:lang w:val="en-US" w:eastAsia="zh-CN" w:bidi="ar"/>
              </w:rPr>
              <w:t>0</w:t>
            </w:r>
            <w:r>
              <w:rPr>
                <w:rFonts w:hint="eastAsia" w:ascii="华文楷体" w:hAnsi="华文楷体" w:eastAsia="华文楷体" w:cs="华文楷体"/>
                <w:color w:val="FF0000"/>
                <w:kern w:val="0"/>
                <w:szCs w:val="21"/>
                <w:shd w:val="clear" w:color="auto" w:fill="FFFFFF"/>
                <w:lang w:bidi="ar"/>
              </w:rPr>
              <w:t>%以上</w:t>
            </w:r>
          </w:p>
        </w:tc>
        <w:tc>
          <w:tcPr>
            <w:tcW w:w="1364" w:type="dxa"/>
            <w:tcBorders>
              <w:top w:val="single" w:color="000000" w:sz="4" w:space="0"/>
              <w:left w:val="single" w:color="auto" w:sz="4" w:space="0"/>
              <w:bottom w:val="single" w:color="000000" w:sz="4" w:space="0"/>
              <w:right w:val="single" w:color="000000" w:sz="4" w:space="0"/>
            </w:tcBorders>
            <w:vAlign w:val="center"/>
          </w:tcPr>
          <w:p w14:paraId="19FFEBBD">
            <w:pPr>
              <w:widowControl/>
              <w:jc w:val="center"/>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bidi="ar"/>
              </w:rPr>
              <w:t>目视</w:t>
            </w:r>
            <w:r>
              <w:rPr>
                <w:rFonts w:hint="eastAsia" w:ascii="华文楷体" w:hAnsi="华文楷体" w:eastAsia="华文楷体" w:cs="华文楷体"/>
                <w:color w:val="FF0000"/>
                <w:kern w:val="0"/>
                <w:szCs w:val="21"/>
                <w:shd w:val="clear" w:color="auto" w:fill="FFFFFF"/>
                <w:lang w:val="en-US" w:eastAsia="zh-CN" w:bidi="ar"/>
              </w:rPr>
              <w:t>/色卡</w:t>
            </w:r>
          </w:p>
        </w:tc>
        <w:tc>
          <w:tcPr>
            <w:tcW w:w="1233" w:type="dxa"/>
            <w:tcBorders>
              <w:top w:val="single" w:color="000000" w:sz="4" w:space="0"/>
              <w:left w:val="single" w:color="000000" w:sz="4" w:space="0"/>
              <w:bottom w:val="single" w:color="000000" w:sz="4" w:space="0"/>
              <w:right w:val="single" w:color="000000" w:sz="4" w:space="0"/>
            </w:tcBorders>
            <w:vAlign w:val="center"/>
          </w:tcPr>
          <w:p w14:paraId="2DCAF3BB">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MIN</w:t>
            </w:r>
          </w:p>
        </w:tc>
      </w:tr>
      <w:tr w14:paraId="5121B98B">
        <w:tblPrEx>
          <w:tblCellMar>
            <w:top w:w="0" w:type="dxa"/>
            <w:left w:w="108" w:type="dxa"/>
            <w:bottom w:w="0" w:type="dxa"/>
            <w:right w:w="108" w:type="dxa"/>
          </w:tblCellMar>
        </w:tblPrEx>
        <w:trPr>
          <w:trHeight w:val="601" w:hRule="atLeast"/>
          <w:jc w:val="center"/>
        </w:trPr>
        <w:tc>
          <w:tcPr>
            <w:tcW w:w="1126" w:type="dxa"/>
            <w:vMerge w:val="continue"/>
            <w:tcBorders>
              <w:left w:val="single" w:color="auto" w:sz="4" w:space="0"/>
              <w:right w:val="single" w:color="auto" w:sz="4" w:space="0"/>
            </w:tcBorders>
            <w:vAlign w:val="center"/>
          </w:tcPr>
          <w:p w14:paraId="3FCDA750">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378B83A8">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自重</w:t>
            </w:r>
          </w:p>
        </w:tc>
        <w:tc>
          <w:tcPr>
            <w:tcW w:w="5496" w:type="dxa"/>
            <w:tcBorders>
              <w:top w:val="single" w:color="auto" w:sz="4" w:space="0"/>
              <w:left w:val="single" w:color="auto" w:sz="4" w:space="0"/>
              <w:bottom w:val="single" w:color="auto" w:sz="4" w:space="0"/>
              <w:right w:val="single" w:color="auto" w:sz="4" w:space="0"/>
            </w:tcBorders>
            <w:vAlign w:val="center"/>
          </w:tcPr>
          <w:p w14:paraId="72790616">
            <w:pPr>
              <w:widowControl/>
              <w:jc w:val="left"/>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按招标重量，不允许有负公差</w:t>
            </w:r>
          </w:p>
        </w:tc>
        <w:tc>
          <w:tcPr>
            <w:tcW w:w="1364" w:type="dxa"/>
            <w:tcBorders>
              <w:top w:val="single" w:color="000000" w:sz="4" w:space="0"/>
              <w:left w:val="single" w:color="auto" w:sz="4" w:space="0"/>
              <w:bottom w:val="single" w:color="000000" w:sz="4" w:space="0"/>
              <w:right w:val="single" w:color="000000" w:sz="4" w:space="0"/>
            </w:tcBorders>
            <w:vAlign w:val="center"/>
          </w:tcPr>
          <w:p w14:paraId="26D0ECC4">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58910AE1">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71422500">
        <w:tblPrEx>
          <w:tblCellMar>
            <w:top w:w="0" w:type="dxa"/>
            <w:left w:w="108" w:type="dxa"/>
            <w:bottom w:w="0" w:type="dxa"/>
            <w:right w:w="108" w:type="dxa"/>
          </w:tblCellMar>
        </w:tblPrEx>
        <w:trPr>
          <w:trHeight w:val="635" w:hRule="atLeast"/>
          <w:jc w:val="center"/>
        </w:trPr>
        <w:tc>
          <w:tcPr>
            <w:tcW w:w="1126" w:type="dxa"/>
            <w:vMerge w:val="continue"/>
            <w:tcBorders>
              <w:left w:val="single" w:color="auto" w:sz="4" w:space="0"/>
              <w:bottom w:val="single" w:color="auto" w:sz="4" w:space="0"/>
              <w:right w:val="single" w:color="auto" w:sz="4" w:space="0"/>
            </w:tcBorders>
            <w:vAlign w:val="center"/>
          </w:tcPr>
          <w:p w14:paraId="6D035537">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auto" w:sz="4" w:space="0"/>
              <w:left w:val="single" w:color="auto" w:sz="4" w:space="0"/>
              <w:bottom w:val="single" w:color="000000" w:sz="4" w:space="0"/>
              <w:right w:val="single" w:color="000000" w:sz="4" w:space="0"/>
            </w:tcBorders>
            <w:vAlign w:val="center"/>
          </w:tcPr>
          <w:p w14:paraId="1BCBA1DC">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尺寸检查</w:t>
            </w:r>
          </w:p>
        </w:tc>
        <w:tc>
          <w:tcPr>
            <w:tcW w:w="5496" w:type="dxa"/>
            <w:tcBorders>
              <w:top w:val="single" w:color="auto" w:sz="4" w:space="0"/>
              <w:left w:val="single" w:color="000000" w:sz="4" w:space="0"/>
              <w:bottom w:val="single" w:color="000000" w:sz="4" w:space="0"/>
              <w:right w:val="single" w:color="000000" w:sz="4" w:space="0"/>
            </w:tcBorders>
            <w:vAlign w:val="center"/>
          </w:tcPr>
          <w:p w14:paraId="647D894E">
            <w:pPr>
              <w:widowControl/>
              <w:jc w:val="left"/>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长度：标准长度±50mm，宽度：标准值±50mm</w:t>
            </w:r>
          </w:p>
        </w:tc>
        <w:tc>
          <w:tcPr>
            <w:tcW w:w="1364" w:type="dxa"/>
            <w:tcBorders>
              <w:top w:val="single" w:color="000000" w:sz="4" w:space="0"/>
              <w:left w:val="single" w:color="000000" w:sz="4" w:space="0"/>
              <w:bottom w:val="single" w:color="000000" w:sz="4" w:space="0"/>
              <w:right w:val="single" w:color="000000" w:sz="4" w:space="0"/>
            </w:tcBorders>
            <w:vAlign w:val="center"/>
          </w:tcPr>
          <w:p w14:paraId="0D3B921A">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卷尺测量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700329F5">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0531983F">
        <w:tblPrEx>
          <w:tblCellMar>
            <w:top w:w="0" w:type="dxa"/>
            <w:left w:w="108" w:type="dxa"/>
            <w:bottom w:w="0" w:type="dxa"/>
            <w:right w:w="108" w:type="dxa"/>
          </w:tblCellMar>
        </w:tblPrEx>
        <w:trPr>
          <w:trHeight w:val="534" w:hRule="atLeast"/>
          <w:jc w:val="center"/>
        </w:trPr>
        <w:tc>
          <w:tcPr>
            <w:tcW w:w="1126" w:type="dxa"/>
            <w:vMerge w:val="restart"/>
            <w:tcBorders>
              <w:top w:val="single" w:color="auto" w:sz="4" w:space="0"/>
              <w:left w:val="single" w:color="auto" w:sz="4" w:space="0"/>
              <w:right w:val="single" w:color="auto" w:sz="4" w:space="0"/>
            </w:tcBorders>
            <w:vAlign w:val="center"/>
          </w:tcPr>
          <w:p w14:paraId="3BCAE4B1">
            <w:pPr>
              <w:jc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性能</w:t>
            </w:r>
          </w:p>
        </w:tc>
        <w:tc>
          <w:tcPr>
            <w:tcW w:w="1424" w:type="dxa"/>
            <w:tcBorders>
              <w:top w:val="single" w:color="000000" w:sz="4" w:space="0"/>
              <w:left w:val="single" w:color="auto" w:sz="4" w:space="0"/>
              <w:bottom w:val="single" w:color="auto" w:sz="4" w:space="0"/>
              <w:right w:val="single" w:color="000000" w:sz="4" w:space="0"/>
            </w:tcBorders>
            <w:vAlign w:val="center"/>
          </w:tcPr>
          <w:p w14:paraId="2EC227AA">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水平测试</w:t>
            </w:r>
          </w:p>
        </w:tc>
        <w:tc>
          <w:tcPr>
            <w:tcW w:w="5496" w:type="dxa"/>
            <w:tcBorders>
              <w:top w:val="single" w:color="000000" w:sz="4" w:space="0"/>
              <w:left w:val="single" w:color="000000" w:sz="4" w:space="0"/>
              <w:bottom w:val="single" w:color="000000" w:sz="4" w:space="0"/>
              <w:right w:val="single" w:color="000000" w:sz="4" w:space="0"/>
            </w:tcBorders>
            <w:vAlign w:val="center"/>
          </w:tcPr>
          <w:p w14:paraId="21B23747">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外观平整，平放在水平地面上不会出现摇晃的情形</w:t>
            </w:r>
          </w:p>
        </w:tc>
        <w:tc>
          <w:tcPr>
            <w:tcW w:w="1364" w:type="dxa"/>
            <w:tcBorders>
              <w:top w:val="single" w:color="000000" w:sz="4" w:space="0"/>
              <w:left w:val="single" w:color="000000" w:sz="4" w:space="0"/>
              <w:bottom w:val="single" w:color="000000" w:sz="4" w:space="0"/>
              <w:right w:val="single" w:color="000000" w:sz="4" w:space="0"/>
            </w:tcBorders>
            <w:vAlign w:val="center"/>
          </w:tcPr>
          <w:p w14:paraId="34BE55BB">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169428E7">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7B97719C">
        <w:tblPrEx>
          <w:tblCellMar>
            <w:top w:w="0" w:type="dxa"/>
            <w:left w:w="108" w:type="dxa"/>
            <w:bottom w:w="0" w:type="dxa"/>
            <w:right w:w="108" w:type="dxa"/>
          </w:tblCellMar>
        </w:tblPrEx>
        <w:trPr>
          <w:trHeight w:val="529" w:hRule="atLeast"/>
          <w:jc w:val="center"/>
        </w:trPr>
        <w:tc>
          <w:tcPr>
            <w:tcW w:w="1126" w:type="dxa"/>
            <w:vMerge w:val="continue"/>
            <w:tcBorders>
              <w:left w:val="single" w:color="auto" w:sz="4" w:space="0"/>
              <w:right w:val="single" w:color="auto" w:sz="4" w:space="0"/>
            </w:tcBorders>
            <w:vAlign w:val="center"/>
          </w:tcPr>
          <w:p w14:paraId="54162F3C">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12DC06AF">
            <w:pPr>
              <w:widowControl/>
              <w:jc w:val="center"/>
              <w:textAlignment w:val="center"/>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附着力</w:t>
            </w:r>
          </w:p>
        </w:tc>
        <w:tc>
          <w:tcPr>
            <w:tcW w:w="5496" w:type="dxa"/>
            <w:tcBorders>
              <w:top w:val="single" w:color="000000" w:sz="4" w:space="0"/>
              <w:left w:val="single" w:color="000000" w:sz="4" w:space="0"/>
              <w:bottom w:val="single" w:color="000000" w:sz="4" w:space="0"/>
              <w:right w:val="single" w:color="000000" w:sz="4" w:space="0"/>
            </w:tcBorders>
            <w:vAlign w:val="center"/>
          </w:tcPr>
          <w:p w14:paraId="4968237D">
            <w:pPr>
              <w:widowControl/>
              <w:jc w:val="left"/>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szCs w:val="21"/>
                <w:lang w:val="en-US" w:eastAsia="zh-CN"/>
              </w:rPr>
              <w:t>参照</w:t>
            </w:r>
            <w:r>
              <w:rPr>
                <w:rFonts w:hint="eastAsia" w:ascii="华文楷体" w:hAnsi="华文楷体" w:eastAsia="华文楷体" w:cs="华文楷体"/>
                <w:color w:val="FF0000"/>
                <w:szCs w:val="21"/>
              </w:rPr>
              <w:t>GB9286-</w:t>
            </w:r>
            <w:r>
              <w:rPr>
                <w:rFonts w:hint="eastAsia" w:ascii="华文楷体" w:hAnsi="华文楷体" w:eastAsia="华文楷体" w:cs="华文楷体"/>
                <w:color w:val="FF0000"/>
                <w:szCs w:val="21"/>
                <w:lang w:val="en-US" w:eastAsia="zh-CN"/>
              </w:rPr>
              <w:t>2021，漆面附着力测试达到3级或以上，</w:t>
            </w:r>
          </w:p>
        </w:tc>
        <w:tc>
          <w:tcPr>
            <w:tcW w:w="1364" w:type="dxa"/>
            <w:tcBorders>
              <w:top w:val="single" w:color="000000" w:sz="4" w:space="0"/>
              <w:left w:val="single" w:color="000000" w:sz="4" w:space="0"/>
              <w:bottom w:val="single" w:color="000000" w:sz="4" w:space="0"/>
              <w:right w:val="single" w:color="000000" w:sz="4" w:space="0"/>
            </w:tcBorders>
            <w:vAlign w:val="center"/>
          </w:tcPr>
          <w:p w14:paraId="7CE4FC0E">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55364B7D">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44533954">
        <w:tblPrEx>
          <w:tblCellMar>
            <w:top w:w="0" w:type="dxa"/>
            <w:left w:w="108" w:type="dxa"/>
            <w:bottom w:w="0" w:type="dxa"/>
            <w:right w:w="108" w:type="dxa"/>
          </w:tblCellMar>
        </w:tblPrEx>
        <w:trPr>
          <w:trHeight w:val="1072" w:hRule="atLeast"/>
          <w:jc w:val="center"/>
        </w:trPr>
        <w:tc>
          <w:tcPr>
            <w:tcW w:w="1126" w:type="dxa"/>
            <w:vMerge w:val="continue"/>
            <w:tcBorders>
              <w:left w:val="single" w:color="auto" w:sz="4" w:space="0"/>
              <w:bottom w:val="single" w:color="auto" w:sz="4" w:space="0"/>
              <w:right w:val="single" w:color="auto" w:sz="4" w:space="0"/>
            </w:tcBorders>
            <w:vAlign w:val="center"/>
          </w:tcPr>
          <w:p w14:paraId="02CA9A4D">
            <w:pPr>
              <w:jc w:val="center"/>
              <w:rPr>
                <w:rFonts w:hint="eastAsia" w:ascii="华文楷体" w:hAnsi="华文楷体" w:eastAsia="华文楷体" w:cs="华文楷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23E9B30E">
            <w:pPr>
              <w:widowControl/>
              <w:jc w:val="center"/>
              <w:textAlignment w:val="center"/>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载重测试</w:t>
            </w:r>
          </w:p>
        </w:tc>
        <w:tc>
          <w:tcPr>
            <w:tcW w:w="5496" w:type="dxa"/>
            <w:tcBorders>
              <w:top w:val="single" w:color="000000" w:sz="4" w:space="0"/>
              <w:left w:val="single" w:color="000000" w:sz="4" w:space="0"/>
              <w:bottom w:val="single" w:color="000000" w:sz="4" w:space="0"/>
              <w:right w:val="single" w:color="000000" w:sz="4" w:space="0"/>
            </w:tcBorders>
            <w:vAlign w:val="center"/>
          </w:tcPr>
          <w:p w14:paraId="405B3B2B">
            <w:pPr>
              <w:widowControl/>
              <w:jc w:val="left"/>
              <w:textAlignment w:val="top"/>
              <w:rPr>
                <w:rFonts w:hint="eastAsia" w:ascii="华文楷体" w:hAnsi="华文楷体" w:eastAsia="华文楷体" w:cs="华文楷体"/>
                <w:color w:val="FF0000"/>
                <w:szCs w:val="21"/>
                <w:lang w:val="en-US" w:eastAsia="zh-CN"/>
              </w:rPr>
            </w:pPr>
            <w:r>
              <w:rPr>
                <w:rFonts w:hint="eastAsia" w:ascii="华文楷体" w:hAnsi="华文楷体" w:eastAsia="华文楷体" w:cs="华文楷体"/>
                <w:color w:val="FF0000"/>
                <w:szCs w:val="21"/>
                <w:lang w:val="en-US" w:eastAsia="zh-CN"/>
              </w:rPr>
              <w:t>按设计最大载重在货叉上施加1.33倍载荷，加压后静止10分钟，车身结构件无脱焊、裂痕及永久性形变，液压油缸不得有渗、漏油等异常。</w:t>
            </w:r>
          </w:p>
        </w:tc>
        <w:tc>
          <w:tcPr>
            <w:tcW w:w="1364" w:type="dxa"/>
            <w:tcBorders>
              <w:top w:val="single" w:color="000000" w:sz="4" w:space="0"/>
              <w:left w:val="single" w:color="000000" w:sz="4" w:space="0"/>
              <w:bottom w:val="single" w:color="000000" w:sz="4" w:space="0"/>
              <w:right w:val="single" w:color="000000" w:sz="4" w:space="0"/>
            </w:tcBorders>
            <w:vAlign w:val="center"/>
          </w:tcPr>
          <w:p w14:paraId="5C1F3148">
            <w:pPr>
              <w:widowControl/>
              <w:jc w:val="center"/>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模拟载</w:t>
            </w:r>
          </w:p>
          <w:p w14:paraId="76C15118">
            <w:pPr>
              <w:widowControl/>
              <w:jc w:val="center"/>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重测试</w:t>
            </w:r>
          </w:p>
        </w:tc>
        <w:tc>
          <w:tcPr>
            <w:tcW w:w="1233" w:type="dxa"/>
            <w:tcBorders>
              <w:top w:val="single" w:color="000000" w:sz="4" w:space="0"/>
              <w:left w:val="single" w:color="000000" w:sz="4" w:space="0"/>
              <w:bottom w:val="single" w:color="000000" w:sz="4" w:space="0"/>
              <w:right w:val="single" w:color="000000" w:sz="4" w:space="0"/>
            </w:tcBorders>
            <w:vAlign w:val="center"/>
          </w:tcPr>
          <w:p w14:paraId="5E1EC2ED">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MAJ</w:t>
            </w:r>
          </w:p>
        </w:tc>
      </w:tr>
      <w:tr w14:paraId="6CF78DCA">
        <w:tblPrEx>
          <w:tblCellMar>
            <w:top w:w="0" w:type="dxa"/>
            <w:left w:w="108" w:type="dxa"/>
            <w:bottom w:w="0" w:type="dxa"/>
            <w:right w:w="108" w:type="dxa"/>
          </w:tblCellMar>
        </w:tblPrEx>
        <w:trPr>
          <w:trHeight w:val="407" w:hRule="atLeast"/>
          <w:jc w:val="center"/>
        </w:trPr>
        <w:tc>
          <w:tcPr>
            <w:tcW w:w="1126" w:type="dxa"/>
            <w:tcBorders>
              <w:top w:val="single" w:color="auto" w:sz="4" w:space="0"/>
              <w:left w:val="single" w:color="auto" w:sz="4" w:space="0"/>
              <w:bottom w:val="single" w:color="auto" w:sz="4" w:space="0"/>
              <w:right w:val="single" w:color="auto" w:sz="4" w:space="0"/>
            </w:tcBorders>
            <w:vAlign w:val="center"/>
          </w:tcPr>
          <w:p w14:paraId="446F70CA">
            <w:pPr>
              <w:jc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质保</w:t>
            </w:r>
          </w:p>
        </w:tc>
        <w:tc>
          <w:tcPr>
            <w:tcW w:w="1424" w:type="dxa"/>
            <w:tcBorders>
              <w:top w:val="single" w:color="auto" w:sz="4" w:space="0"/>
              <w:left w:val="single" w:color="auto" w:sz="4" w:space="0"/>
              <w:bottom w:val="single" w:color="auto" w:sz="4" w:space="0"/>
              <w:right w:val="single" w:color="auto" w:sz="4" w:space="0"/>
            </w:tcBorders>
            <w:vAlign w:val="center"/>
          </w:tcPr>
          <w:p w14:paraId="1D43F39B">
            <w:pPr>
              <w:widowControl/>
              <w:jc w:val="center"/>
              <w:textAlignment w:val="center"/>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质保期限</w:t>
            </w:r>
          </w:p>
        </w:tc>
        <w:tc>
          <w:tcPr>
            <w:tcW w:w="5496" w:type="dxa"/>
            <w:tcBorders>
              <w:top w:val="single" w:color="000000" w:sz="4" w:space="0"/>
              <w:left w:val="single" w:color="auto" w:sz="4" w:space="0"/>
              <w:bottom w:val="single" w:color="000000" w:sz="4" w:space="0"/>
              <w:right w:val="single" w:color="000000" w:sz="4" w:space="0"/>
            </w:tcBorders>
            <w:vAlign w:val="center"/>
          </w:tcPr>
          <w:p w14:paraId="1625C7D0">
            <w:pPr>
              <w:widowControl/>
              <w:jc w:val="center"/>
              <w:textAlignment w:val="top"/>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bidi="ar"/>
              </w:rPr>
              <w:t>1年</w:t>
            </w:r>
          </w:p>
        </w:tc>
        <w:tc>
          <w:tcPr>
            <w:tcW w:w="1364" w:type="dxa"/>
            <w:tcBorders>
              <w:top w:val="single" w:color="000000" w:sz="4" w:space="0"/>
              <w:left w:val="single" w:color="000000" w:sz="4" w:space="0"/>
              <w:bottom w:val="single" w:color="000000" w:sz="4" w:space="0"/>
              <w:right w:val="single" w:color="000000" w:sz="4" w:space="0"/>
            </w:tcBorders>
            <w:vAlign w:val="center"/>
          </w:tcPr>
          <w:p w14:paraId="72BE6B44">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w:t>
            </w:r>
          </w:p>
        </w:tc>
        <w:tc>
          <w:tcPr>
            <w:tcW w:w="1233" w:type="dxa"/>
            <w:tcBorders>
              <w:top w:val="single" w:color="000000" w:sz="4" w:space="0"/>
              <w:left w:val="single" w:color="000000" w:sz="4" w:space="0"/>
              <w:bottom w:val="single" w:color="000000" w:sz="4" w:space="0"/>
              <w:right w:val="single" w:color="000000" w:sz="4" w:space="0"/>
            </w:tcBorders>
            <w:vAlign w:val="center"/>
          </w:tcPr>
          <w:p w14:paraId="6863149A">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w:t>
            </w:r>
          </w:p>
        </w:tc>
      </w:tr>
      <w:tr w14:paraId="059A9F70">
        <w:tblPrEx>
          <w:tblCellMar>
            <w:top w:w="0" w:type="dxa"/>
            <w:left w:w="108" w:type="dxa"/>
            <w:bottom w:w="0" w:type="dxa"/>
            <w:right w:w="108" w:type="dxa"/>
          </w:tblCellMar>
        </w:tblPrEx>
        <w:trPr>
          <w:trHeight w:val="744" w:hRule="atLeast"/>
          <w:jc w:val="center"/>
        </w:trPr>
        <w:tc>
          <w:tcPr>
            <w:tcW w:w="1126" w:type="dxa"/>
            <w:tcBorders>
              <w:top w:val="single" w:color="auto" w:sz="4" w:space="0"/>
              <w:left w:val="single" w:color="auto" w:sz="4" w:space="0"/>
              <w:bottom w:val="single" w:color="auto" w:sz="4" w:space="0"/>
              <w:right w:val="single" w:color="auto" w:sz="4" w:space="0"/>
            </w:tcBorders>
            <w:vAlign w:val="center"/>
          </w:tcPr>
          <w:p w14:paraId="5324CCEE">
            <w:pPr>
              <w:jc w:val="center"/>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送货</w:t>
            </w:r>
          </w:p>
        </w:tc>
        <w:tc>
          <w:tcPr>
            <w:tcW w:w="1424" w:type="dxa"/>
            <w:tcBorders>
              <w:top w:val="single" w:color="auto" w:sz="4" w:space="0"/>
              <w:left w:val="single" w:color="auto" w:sz="4" w:space="0"/>
              <w:bottom w:val="single" w:color="auto" w:sz="4" w:space="0"/>
              <w:right w:val="single" w:color="auto" w:sz="4" w:space="0"/>
            </w:tcBorders>
            <w:vAlign w:val="center"/>
          </w:tcPr>
          <w:p w14:paraId="28A0FA1D">
            <w:pPr>
              <w:widowControl/>
              <w:jc w:val="center"/>
              <w:textAlignment w:val="center"/>
              <w:rPr>
                <w:rFonts w:hint="eastAsia" w:ascii="华文楷体" w:hAnsi="华文楷体" w:eastAsia="华文楷体" w:cs="华文楷体"/>
                <w:color w:val="FF0000"/>
                <w:kern w:val="0"/>
                <w:szCs w:val="21"/>
                <w:shd w:val="clear" w:color="auto" w:fill="FFFFFF"/>
                <w:lang w:val="en-US" w:eastAsia="zh-CN" w:bidi="ar"/>
              </w:rPr>
            </w:pPr>
            <w:r>
              <w:rPr>
                <w:rFonts w:hint="eastAsia" w:ascii="华文楷体" w:hAnsi="华文楷体" w:eastAsia="华文楷体" w:cs="华文楷体"/>
                <w:color w:val="FF0000"/>
                <w:kern w:val="0"/>
                <w:szCs w:val="21"/>
                <w:shd w:val="clear" w:color="auto" w:fill="FFFFFF"/>
                <w:lang w:val="en-US" w:eastAsia="zh-CN" w:bidi="ar"/>
              </w:rPr>
              <w:t>单据规范</w:t>
            </w:r>
          </w:p>
        </w:tc>
        <w:tc>
          <w:tcPr>
            <w:tcW w:w="5496" w:type="dxa"/>
            <w:tcBorders>
              <w:top w:val="single" w:color="000000" w:sz="4" w:space="0"/>
              <w:left w:val="single" w:color="auto" w:sz="4" w:space="0"/>
              <w:bottom w:val="single" w:color="000000" w:sz="4" w:space="0"/>
              <w:right w:val="single" w:color="000000" w:sz="4" w:space="0"/>
            </w:tcBorders>
            <w:vAlign w:val="center"/>
          </w:tcPr>
          <w:p w14:paraId="041C3CAA">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szCs w:val="21"/>
              </w:rPr>
              <w:t>送货单据内容与系统 ERP单据相符，（采购订单号，供应商、料号、名称、规格、数量）</w:t>
            </w:r>
          </w:p>
        </w:tc>
        <w:tc>
          <w:tcPr>
            <w:tcW w:w="1364" w:type="dxa"/>
            <w:tcBorders>
              <w:top w:val="single" w:color="000000" w:sz="4" w:space="0"/>
              <w:left w:val="single" w:color="000000" w:sz="4" w:space="0"/>
              <w:bottom w:val="single" w:color="000000" w:sz="4" w:space="0"/>
              <w:right w:val="single" w:color="000000" w:sz="4" w:space="0"/>
            </w:tcBorders>
            <w:vAlign w:val="center"/>
          </w:tcPr>
          <w:p w14:paraId="453E4D58">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7D19A2F5">
            <w:pPr>
              <w:widowControl/>
              <w:jc w:val="center"/>
              <w:textAlignment w:val="top"/>
              <w:rPr>
                <w:rFonts w:hint="eastAsia" w:ascii="华文楷体" w:hAnsi="华文楷体" w:eastAsia="华文楷体" w:cs="华文楷体"/>
                <w:color w:val="FF0000"/>
                <w:kern w:val="0"/>
                <w:szCs w:val="21"/>
                <w:shd w:val="clear" w:color="auto" w:fill="FFFFFF"/>
                <w:lang w:bidi="ar"/>
              </w:rPr>
            </w:pPr>
            <w:r>
              <w:rPr>
                <w:rFonts w:hint="eastAsia" w:ascii="华文楷体" w:hAnsi="华文楷体" w:eastAsia="华文楷体" w:cs="华文楷体"/>
                <w:color w:val="FF0000"/>
                <w:kern w:val="0"/>
                <w:szCs w:val="21"/>
                <w:shd w:val="clear" w:color="auto" w:fill="FFFFFF"/>
                <w:lang w:bidi="ar"/>
              </w:rPr>
              <w:t>/</w:t>
            </w:r>
          </w:p>
        </w:tc>
      </w:tr>
    </w:tbl>
    <w:p w14:paraId="24FABED4">
      <w:pPr>
        <w:widowControl/>
        <w:spacing w:line="360" w:lineRule="auto"/>
        <w:jc w:val="left"/>
        <w:textAlignment w:val="center"/>
        <w:rPr>
          <w:rFonts w:hint="eastAsia" w:ascii="宋体" w:hAnsi="宋体" w:cs="宋体"/>
          <w:b/>
          <w:bCs/>
          <w:color w:val="auto"/>
          <w:kern w:val="0"/>
          <w:szCs w:val="21"/>
          <w:lang w:bidi="ar"/>
        </w:rPr>
      </w:pPr>
    </w:p>
    <w:p w14:paraId="35DE1F72">
      <w:pPr>
        <w:widowControl/>
        <w:numPr>
          <w:ilvl w:val="0"/>
          <w:numId w:val="0"/>
        </w:numPr>
        <w:spacing w:line="240" w:lineRule="auto"/>
        <w:jc w:val="left"/>
        <w:textAlignment w:val="auto"/>
        <w:rPr>
          <w:rFonts w:hint="eastAsia" w:ascii="华文楷体" w:hAnsi="华文楷体" w:eastAsia="华文楷体" w:cs="华文楷体"/>
          <w:b w:val="0"/>
          <w:bCs w:val="0"/>
          <w:color w:val="000000"/>
          <w:spacing w:val="2"/>
          <w:kern w:val="0"/>
          <w:position w:val="4"/>
          <w:sz w:val="20"/>
          <w:szCs w:val="20"/>
          <w:lang w:eastAsia="zh-CN" w:bidi="ar"/>
        </w:rPr>
      </w:pPr>
      <w:r>
        <w:rPr>
          <w:rFonts w:hint="eastAsia" w:ascii="华文楷体" w:hAnsi="华文楷体" w:eastAsia="华文楷体" w:cs="华文楷体"/>
          <w:b w:val="0"/>
          <w:bCs w:val="0"/>
          <w:color w:val="000000"/>
          <w:spacing w:val="2"/>
          <w:kern w:val="0"/>
          <w:position w:val="4"/>
          <w:sz w:val="20"/>
          <w:szCs w:val="20"/>
          <w:lang w:val="en-US" w:eastAsia="zh-CN" w:bidi="ar"/>
        </w:rPr>
        <w:t>3</w:t>
      </w:r>
      <w:r>
        <w:rPr>
          <w:rFonts w:hint="eastAsia" w:ascii="华文楷体" w:hAnsi="华文楷体" w:eastAsia="华文楷体" w:cs="华文楷体"/>
          <w:b w:val="0"/>
          <w:bCs w:val="0"/>
          <w:color w:val="000000"/>
          <w:spacing w:val="2"/>
          <w:kern w:val="0"/>
          <w:position w:val="4"/>
          <w:sz w:val="20"/>
          <w:szCs w:val="20"/>
          <w:lang w:eastAsia="zh-CN" w:bidi="ar"/>
        </w:rPr>
        <w:t>）抽样与验收</w:t>
      </w:r>
    </w:p>
    <w:p w14:paraId="03CA4BC0">
      <w:pPr>
        <w:spacing w:line="360" w:lineRule="auto"/>
        <w:ind w:right="-328" w:rightChars="-156"/>
        <w:rPr>
          <w:rFonts w:hint="eastAsia" w:ascii="华文楷体" w:hAnsi="华文楷体" w:eastAsia="华文楷体" w:cs="华文楷体"/>
          <w:bCs/>
          <w:color w:val="auto"/>
          <w:sz w:val="20"/>
          <w:szCs w:val="20"/>
        </w:rPr>
      </w:pPr>
      <w:r>
        <w:rPr>
          <w:rFonts w:hint="eastAsia" w:ascii="华文楷体" w:hAnsi="华文楷体" w:eastAsia="华文楷体" w:cs="华文楷体"/>
          <w:bCs/>
          <w:color w:val="auto"/>
          <w:sz w:val="20"/>
          <w:szCs w:val="20"/>
        </w:rPr>
        <w:t>3.1</w:t>
      </w:r>
      <w:r>
        <w:rPr>
          <w:rFonts w:hint="eastAsia" w:ascii="华文楷体" w:hAnsi="华文楷体" w:eastAsia="华文楷体" w:cs="华文楷体"/>
          <w:bCs/>
          <w:color w:val="auto"/>
          <w:sz w:val="20"/>
          <w:szCs w:val="20"/>
          <w:lang w:val="en-US" w:eastAsia="zh-CN"/>
        </w:rPr>
        <w:t xml:space="preserve"> </w:t>
      </w:r>
      <w:r>
        <w:rPr>
          <w:rFonts w:hint="eastAsia" w:ascii="华文楷体" w:hAnsi="华文楷体" w:eastAsia="华文楷体" w:cs="华文楷体"/>
          <w:bCs/>
          <w:color w:val="auto"/>
          <w:sz w:val="20"/>
          <w:szCs w:val="20"/>
        </w:rPr>
        <w:t>外观类不良，参照GB/T 2828-2003，普Ⅱ抽样，轻微不良允收标准：AQL 2.5，</w:t>
      </w:r>
    </w:p>
    <w:p w14:paraId="0ABC2962">
      <w:pPr>
        <w:spacing w:line="360" w:lineRule="auto"/>
        <w:ind w:right="-328" w:rightChars="-156" w:firstLine="600" w:firstLineChars="300"/>
        <w:rPr>
          <w:rFonts w:hint="eastAsia" w:ascii="华文楷体" w:hAnsi="华文楷体" w:eastAsia="华文楷体" w:cs="华文楷体"/>
          <w:bCs/>
          <w:color w:val="auto"/>
          <w:sz w:val="20"/>
          <w:szCs w:val="20"/>
        </w:rPr>
      </w:pPr>
      <w:r>
        <w:rPr>
          <w:rFonts w:hint="eastAsia" w:ascii="华文楷体" w:hAnsi="华文楷体" w:eastAsia="华文楷体" w:cs="华文楷体"/>
          <w:bCs/>
          <w:color w:val="auto"/>
          <w:sz w:val="20"/>
          <w:szCs w:val="20"/>
        </w:rPr>
        <w:t>严重不良允收标准：AQL1.0；</w:t>
      </w:r>
    </w:p>
    <w:p w14:paraId="0847FE89">
      <w:pPr>
        <w:spacing w:line="360" w:lineRule="auto"/>
        <w:ind w:right="-328" w:rightChars="-156"/>
        <w:rPr>
          <w:rFonts w:hint="eastAsia" w:ascii="华文楷体" w:hAnsi="华文楷体" w:eastAsia="华文楷体" w:cs="华文楷体"/>
          <w:bCs/>
          <w:color w:val="auto"/>
          <w:sz w:val="20"/>
          <w:szCs w:val="20"/>
        </w:rPr>
      </w:pPr>
      <w:r>
        <w:rPr>
          <w:rFonts w:hint="eastAsia" w:ascii="华文楷体" w:hAnsi="华文楷体" w:eastAsia="华文楷体" w:cs="华文楷体"/>
          <w:bCs/>
          <w:color w:val="auto"/>
          <w:sz w:val="20"/>
          <w:szCs w:val="20"/>
        </w:rPr>
        <w:t>3.2</w:t>
      </w:r>
      <w:r>
        <w:rPr>
          <w:rFonts w:hint="eastAsia" w:ascii="华文楷体" w:hAnsi="华文楷体" w:eastAsia="华文楷体" w:cs="华文楷体"/>
          <w:bCs/>
          <w:color w:val="auto"/>
          <w:sz w:val="20"/>
          <w:szCs w:val="20"/>
          <w:lang w:val="en-US" w:eastAsia="zh-CN"/>
        </w:rPr>
        <w:t xml:space="preserve"> </w:t>
      </w:r>
      <w:r>
        <w:rPr>
          <w:rFonts w:hint="eastAsia" w:ascii="华文楷体" w:hAnsi="华文楷体" w:eastAsia="华文楷体" w:cs="华文楷体"/>
          <w:bCs/>
          <w:color w:val="auto"/>
          <w:sz w:val="20"/>
          <w:szCs w:val="20"/>
        </w:rPr>
        <w:t>尺寸、功能类不良，抽样标准s－2，允收标准：AQL 0.65；</w:t>
      </w:r>
    </w:p>
    <w:p w14:paraId="09473DF4">
      <w:pPr>
        <w:spacing w:line="360" w:lineRule="auto"/>
        <w:ind w:right="-328" w:rightChars="-156"/>
        <w:rPr>
          <w:rFonts w:hint="eastAsia" w:ascii="华文楷体" w:hAnsi="华文楷体" w:eastAsia="华文楷体" w:cs="华文楷体"/>
          <w:bCs/>
          <w:color w:val="auto"/>
          <w:sz w:val="20"/>
          <w:szCs w:val="20"/>
        </w:rPr>
      </w:pPr>
      <w:r>
        <w:rPr>
          <w:rFonts w:hint="eastAsia" w:ascii="华文楷体" w:hAnsi="华文楷体" w:eastAsia="华文楷体" w:cs="华文楷体"/>
          <w:bCs/>
          <w:color w:val="auto"/>
          <w:sz w:val="20"/>
          <w:szCs w:val="20"/>
        </w:rPr>
        <w:t>3.3</w:t>
      </w:r>
      <w:r>
        <w:rPr>
          <w:rFonts w:hint="eastAsia" w:ascii="华文楷体" w:hAnsi="华文楷体" w:eastAsia="华文楷体" w:cs="华文楷体"/>
          <w:bCs/>
          <w:color w:val="auto"/>
          <w:sz w:val="20"/>
          <w:szCs w:val="20"/>
          <w:lang w:val="en-US" w:eastAsia="zh-CN"/>
        </w:rPr>
        <w:t xml:space="preserve"> </w:t>
      </w:r>
      <w:r>
        <w:rPr>
          <w:rFonts w:hint="eastAsia" w:ascii="华文楷体" w:hAnsi="华文楷体" w:eastAsia="华文楷体" w:cs="华文楷体"/>
          <w:bCs/>
          <w:color w:val="auto"/>
          <w:sz w:val="20"/>
          <w:szCs w:val="20"/>
        </w:rPr>
        <w:t>全检时根据实际不良数量判定处理；</w:t>
      </w:r>
    </w:p>
    <w:p w14:paraId="0AE0FB7E">
      <w:pPr>
        <w:spacing w:line="360" w:lineRule="auto"/>
        <w:ind w:right="-328" w:rightChars="-156"/>
        <w:rPr>
          <w:rFonts w:hint="eastAsia" w:ascii="华文楷体" w:hAnsi="华文楷体" w:eastAsia="华文楷体" w:cs="华文楷体"/>
          <w:bCs/>
          <w:color w:val="auto"/>
          <w:sz w:val="20"/>
          <w:szCs w:val="20"/>
        </w:rPr>
      </w:pPr>
      <w:r>
        <w:rPr>
          <w:rFonts w:hint="eastAsia" w:ascii="华文楷体" w:hAnsi="华文楷体" w:eastAsia="华文楷体" w:cs="华文楷体"/>
          <w:bCs/>
          <w:color w:val="auto"/>
          <w:sz w:val="20"/>
          <w:szCs w:val="20"/>
        </w:rPr>
        <w:t>3.4</w:t>
      </w:r>
      <w:r>
        <w:rPr>
          <w:rFonts w:hint="eastAsia" w:ascii="华文楷体" w:hAnsi="华文楷体" w:eastAsia="华文楷体" w:cs="华文楷体"/>
          <w:bCs/>
          <w:color w:val="auto"/>
          <w:sz w:val="20"/>
          <w:szCs w:val="20"/>
          <w:lang w:val="en-US" w:eastAsia="zh-CN"/>
        </w:rPr>
        <w:t xml:space="preserve"> </w:t>
      </w:r>
      <w:r>
        <w:rPr>
          <w:rFonts w:hint="eastAsia" w:ascii="华文楷体" w:hAnsi="华文楷体" w:eastAsia="华文楷体" w:cs="华文楷体"/>
          <w:color w:val="auto"/>
          <w:kern w:val="0"/>
          <w:sz w:val="20"/>
          <w:szCs w:val="20"/>
          <w:lang w:bidi="ar"/>
        </w:rPr>
        <w:t>关于公差的重要说明：所有公差（尤其是负公差）均为防止生产过程中的波动影响到产品而善意设置，</w:t>
      </w:r>
      <w:r>
        <w:rPr>
          <w:rFonts w:hint="eastAsia" w:ascii="华文楷体" w:hAnsi="华文楷体" w:eastAsia="华文楷体" w:cs="华文楷体"/>
          <w:color w:val="auto"/>
          <w:kern w:val="0"/>
          <w:sz w:val="20"/>
          <w:szCs w:val="20"/>
          <w:lang w:val="en-US" w:eastAsia="zh-CN" w:bidi="ar"/>
        </w:rPr>
        <w:t>甲方</w:t>
      </w:r>
      <w:r>
        <w:rPr>
          <w:rFonts w:hint="eastAsia" w:ascii="华文楷体" w:hAnsi="华文楷体" w:eastAsia="华文楷体" w:cs="华文楷体"/>
          <w:color w:val="auto"/>
          <w:kern w:val="0"/>
          <w:sz w:val="20"/>
          <w:szCs w:val="20"/>
          <w:lang w:bidi="ar"/>
        </w:rPr>
        <w:t>在实际验收时，只要低于下公差的产品即会被判定不合格进行拒收，并会协议约定进行</w:t>
      </w:r>
      <w:bookmarkStart w:id="2" w:name="_Hlk161149248"/>
      <w:r>
        <w:rPr>
          <w:rFonts w:hint="eastAsia" w:ascii="华文楷体" w:hAnsi="华文楷体" w:eastAsia="华文楷体" w:cs="华文楷体"/>
          <w:color w:val="auto"/>
          <w:kern w:val="0"/>
          <w:sz w:val="20"/>
          <w:szCs w:val="20"/>
          <w:lang w:bidi="ar"/>
        </w:rPr>
        <w:t>处置处罚</w:t>
      </w:r>
      <w:bookmarkEnd w:id="2"/>
      <w:r>
        <w:rPr>
          <w:rFonts w:hint="eastAsia" w:ascii="华文楷体" w:hAnsi="华文楷体" w:eastAsia="华文楷体" w:cs="华文楷体"/>
          <w:color w:val="auto"/>
          <w:kern w:val="0"/>
          <w:sz w:val="20"/>
          <w:szCs w:val="20"/>
          <w:lang w:bidi="ar"/>
        </w:rPr>
        <w:t>。</w:t>
      </w:r>
    </w:p>
    <w:p w14:paraId="7A94B105">
      <w:pPr>
        <w:rPr>
          <w:rFonts w:hint="eastAsia"/>
          <w:b/>
          <w:szCs w:val="21"/>
          <w:lang w:eastAsia="zh-CN"/>
        </w:rPr>
      </w:pPr>
      <w:r>
        <w:rPr>
          <w:rFonts w:hint="eastAsia"/>
          <w:b/>
          <w:szCs w:val="21"/>
          <w:lang w:eastAsia="zh-CN"/>
        </w:rPr>
        <w:br w:type="page"/>
      </w:r>
    </w:p>
    <w:p w14:paraId="69A5A70E">
      <w:pPr>
        <w:rPr>
          <w:rFonts w:hint="eastAsia" w:ascii="华文楷体" w:hAnsi="华文楷体" w:eastAsia="华文楷体" w:cs="华文楷体"/>
          <w:b/>
          <w:szCs w:val="21"/>
        </w:rPr>
      </w:pPr>
      <w:r>
        <w:rPr>
          <w:rFonts w:hint="eastAsia" w:ascii="华文楷体" w:hAnsi="华文楷体" w:eastAsia="华文楷体" w:cs="华文楷体"/>
          <w:b/>
          <w:szCs w:val="21"/>
          <w:lang w:val="en-US" w:eastAsia="zh-CN"/>
        </w:rPr>
        <w:t>附件四：</w:t>
      </w:r>
      <w:r>
        <w:rPr>
          <w:rFonts w:hint="eastAsia" w:ascii="华文楷体" w:hAnsi="华文楷体" w:eastAsia="华文楷体" w:cs="华文楷体"/>
          <w:b/>
          <w:szCs w:val="21"/>
        </w:rPr>
        <w:t>《采购订单》（样表）</w:t>
      </w:r>
    </w:p>
    <w:p w14:paraId="15E23786">
      <w:pPr>
        <w:spacing w:before="26"/>
        <w:ind w:left="669"/>
        <w:jc w:val="center"/>
        <w:rPr>
          <w:rFonts w:hint="eastAsia" w:ascii="华文楷体" w:hAnsi="华文楷体" w:eastAsia="华文楷体" w:cs="华文楷体"/>
          <w:sz w:val="19"/>
        </w:rPr>
      </w:pPr>
      <w:r>
        <w:rPr>
          <w:rFonts w:hint="eastAsia" w:ascii="华文楷体" w:hAnsi="华文楷体" w:eastAsia="华文楷体" w:cs="华文楷体"/>
          <w:spacing w:val="-3"/>
          <w:sz w:val="40"/>
          <w:szCs w:val="52"/>
        </w:rPr>
        <w:t>采购订单</w:t>
      </w:r>
    </w:p>
    <w:p w14:paraId="441A4C3C">
      <w:pPr>
        <w:ind w:left="26"/>
        <w:rPr>
          <w:rFonts w:hint="eastAsia" w:ascii="华文楷体" w:hAnsi="华文楷体" w:eastAsia="华文楷体" w:cs="华文楷体"/>
        </w:rPr>
      </w:pPr>
      <w:r>
        <w:rPr>
          <w:rFonts w:hint="eastAsia" w:ascii="华文楷体" w:hAnsi="华文楷体" w:eastAsia="华文楷体" w:cs="华文楷体"/>
          <w:spacing w:val="-2"/>
        </w:rPr>
        <w:t xml:space="preserve">合同编号： </w:t>
      </w:r>
      <w:r>
        <w:rPr>
          <w:rFonts w:hint="eastAsia" w:ascii="华文楷体" w:hAnsi="华文楷体" w:eastAsia="华文楷体" w:cs="华文楷体"/>
        </w:rPr>
        <w:tab/>
      </w:r>
      <w:r>
        <w:rPr>
          <w:rFonts w:hint="eastAsia" w:ascii="华文楷体" w:hAnsi="华文楷体" w:eastAsia="华文楷体" w:cs="华文楷体"/>
        </w:rPr>
        <w:t xml:space="preserve">                 </w:t>
      </w:r>
      <w:r>
        <w:rPr>
          <w:rFonts w:hint="eastAsia" w:ascii="华文楷体" w:hAnsi="华文楷体" w:eastAsia="华文楷体" w:cs="华文楷体"/>
          <w:spacing w:val="-2"/>
        </w:rPr>
        <w:t xml:space="preserve">         </w:t>
      </w:r>
      <w:r>
        <w:rPr>
          <w:rFonts w:hint="eastAsia" w:ascii="华文楷体" w:hAnsi="华文楷体" w:eastAsia="华文楷体" w:cs="华文楷体"/>
        </w:rPr>
        <w:t xml:space="preserve">订单号：                             </w:t>
      </w:r>
      <w:r>
        <w:rPr>
          <w:rFonts w:hint="eastAsia" w:ascii="华文楷体" w:hAnsi="华文楷体" w:eastAsia="华文楷体" w:cs="华文楷体"/>
          <w:spacing w:val="-2"/>
        </w:rPr>
        <w:t xml:space="preserve">订购日期：                     </w:t>
      </w:r>
    </w:p>
    <w:p w14:paraId="698EA84B">
      <w:pPr>
        <w:spacing w:before="61"/>
        <w:ind w:left="26"/>
        <w:rPr>
          <w:rFonts w:hint="eastAsia" w:ascii="华文楷体" w:hAnsi="华文楷体" w:eastAsia="华文楷体" w:cs="华文楷体"/>
        </w:rPr>
      </w:pPr>
      <w:r>
        <w:rPr>
          <w:rFonts w:hint="eastAsia" w:ascii="华文楷体" w:hAnsi="华文楷体" w:eastAsia="华文楷体" w:cs="华文楷体"/>
          <w:spacing w:val="-1"/>
        </w:rPr>
        <w:t xml:space="preserve">甲方(需方)：  </w:t>
      </w:r>
    </w:p>
    <w:p w14:paraId="10352224">
      <w:pPr>
        <w:tabs>
          <w:tab w:val="left" w:pos="3397"/>
        </w:tabs>
        <w:spacing w:before="150" w:line="278" w:lineRule="auto"/>
        <w:ind w:left="503" w:right="729" w:hanging="478"/>
        <w:rPr>
          <w:rFonts w:hint="eastAsia" w:ascii="华文楷体" w:hAnsi="华文楷体" w:eastAsia="华文楷体" w:cs="华文楷体"/>
        </w:rPr>
      </w:pPr>
      <w:r>
        <w:rPr>
          <w:rFonts w:hint="eastAsia" w:ascii="华文楷体" w:hAnsi="华文楷体" w:eastAsia="华文楷体" w:cs="华文楷体"/>
        </w:rPr>
        <w:t xml:space="preserve">乙方(供方)： </w:t>
      </w:r>
    </w:p>
    <w:p w14:paraId="22922818">
      <w:pPr>
        <w:tabs>
          <w:tab w:val="left" w:pos="3397"/>
        </w:tabs>
        <w:spacing w:before="150" w:line="278" w:lineRule="auto"/>
        <w:ind w:left="503" w:right="729" w:hanging="478"/>
        <w:rPr>
          <w:rFonts w:hint="eastAsia" w:ascii="华文楷体" w:hAnsi="华文楷体" w:eastAsia="华文楷体" w:cs="华文楷体"/>
        </w:rPr>
      </w:pPr>
      <w:r>
        <w:rPr>
          <w:rFonts w:hint="eastAsia" w:ascii="华文楷体" w:hAnsi="华文楷体" w:eastAsia="华文楷体" w:cs="华文楷体"/>
          <w:spacing w:val="-2"/>
        </w:rPr>
        <w:t>根据甲乙双方</w:t>
      </w:r>
      <w:r>
        <w:rPr>
          <w:rFonts w:hint="eastAsia" w:ascii="华文楷体" w:hAnsi="华文楷体" w:eastAsia="华文楷体" w:cs="华文楷体"/>
          <w:spacing w:val="-2"/>
          <w:position w:val="2"/>
        </w:rPr>
        <w:t xml:space="preserve">20   </w:t>
      </w:r>
      <w:r>
        <w:rPr>
          <w:rFonts w:hint="eastAsia" w:ascii="华文楷体" w:hAnsi="华文楷体" w:eastAsia="华文楷体" w:cs="华文楷体"/>
          <w:spacing w:val="-2"/>
        </w:rPr>
        <w:t>年</w:t>
      </w:r>
      <w:r>
        <w:rPr>
          <w:rFonts w:hint="eastAsia" w:ascii="华文楷体" w:hAnsi="华文楷体" w:eastAsia="华文楷体" w:cs="华文楷体"/>
          <w:spacing w:val="-2"/>
          <w:position w:val="2"/>
        </w:rPr>
        <w:t xml:space="preserve">  </w:t>
      </w:r>
      <w:r>
        <w:rPr>
          <w:rFonts w:hint="eastAsia" w:ascii="华文楷体" w:hAnsi="华文楷体" w:eastAsia="华文楷体" w:cs="华文楷体"/>
          <w:spacing w:val="-2"/>
        </w:rPr>
        <w:t>月</w:t>
      </w:r>
      <w:r>
        <w:rPr>
          <w:rFonts w:hint="eastAsia" w:ascii="华文楷体" w:hAnsi="华文楷体" w:eastAsia="华文楷体" w:cs="华文楷体"/>
          <w:spacing w:val="-2"/>
          <w:position w:val="2"/>
        </w:rPr>
        <w:t xml:space="preserve">  </w:t>
      </w:r>
      <w:r>
        <w:rPr>
          <w:rFonts w:hint="eastAsia" w:ascii="华文楷体" w:hAnsi="华文楷体" w:eastAsia="华文楷体" w:cs="华文楷体"/>
          <w:spacing w:val="-2"/>
        </w:rPr>
        <w:t>日签订的《              合同》及相关法律规定，现下达采购订单如下。</w:t>
      </w:r>
    </w:p>
    <w:p w14:paraId="08C81A1D">
      <w:pPr>
        <w:pStyle w:val="2"/>
        <w:spacing w:before="146"/>
        <w:ind w:left="26"/>
        <w:rPr>
          <w:rFonts w:hint="eastAsia" w:ascii="华文楷体" w:hAnsi="华文楷体" w:eastAsia="华文楷体"/>
          <w:sz w:val="21"/>
          <w:szCs w:val="21"/>
        </w:rPr>
      </w:pPr>
      <w:r>
        <w:rPr>
          <w:rFonts w:hint="eastAsia" w:ascii="华文楷体" w:hAnsi="华文楷体" w:eastAsia="华文楷体"/>
          <w:spacing w:val="-2"/>
          <w:sz w:val="21"/>
          <w:szCs w:val="21"/>
        </w:rPr>
        <w:t>一、产品</w:t>
      </w:r>
      <w:r>
        <w:rPr>
          <w:rFonts w:hint="eastAsia" w:ascii="华文楷体" w:hAnsi="华文楷体" w:eastAsia="华文楷体"/>
          <w:spacing w:val="-2"/>
          <w:position w:val="2"/>
          <w:sz w:val="21"/>
          <w:szCs w:val="21"/>
        </w:rPr>
        <w:t>/</w:t>
      </w:r>
      <w:r>
        <w:rPr>
          <w:rFonts w:hint="eastAsia" w:ascii="华文楷体" w:hAnsi="华文楷体" w:eastAsia="华文楷体"/>
          <w:spacing w:val="-4"/>
          <w:sz w:val="21"/>
          <w:szCs w:val="21"/>
        </w:rPr>
        <w:t>商品信息</w:t>
      </w:r>
    </w:p>
    <w:p w14:paraId="06C0E01C">
      <w:pPr>
        <w:pStyle w:val="2"/>
        <w:spacing w:before="6" w:after="1"/>
        <w:rPr>
          <w:rFonts w:hint="default"/>
          <w:sz w:val="19"/>
        </w:rPr>
      </w:pPr>
    </w:p>
    <w:tbl>
      <w:tblPr>
        <w:tblStyle w:val="10"/>
        <w:tblW w:w="4997"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6" w:type="dxa"/>
          <w:left w:w="96" w:type="dxa"/>
          <w:bottom w:w="56" w:type="dxa"/>
          <w:right w:w="96" w:type="dxa"/>
        </w:tblCellMar>
      </w:tblPr>
      <w:tblGrid>
        <w:gridCol w:w="616"/>
        <w:gridCol w:w="597"/>
        <w:gridCol w:w="1348"/>
        <w:gridCol w:w="1412"/>
        <w:gridCol w:w="927"/>
        <w:gridCol w:w="1035"/>
        <w:gridCol w:w="749"/>
        <w:gridCol w:w="1582"/>
        <w:gridCol w:w="1024"/>
        <w:gridCol w:w="1442"/>
      </w:tblGrid>
      <w:tr w14:paraId="1F3A39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6" w:type="dxa"/>
            <w:left w:w="96" w:type="dxa"/>
            <w:bottom w:w="56" w:type="dxa"/>
            <w:right w:w="96" w:type="dxa"/>
          </w:tblCellMar>
        </w:tblPrEx>
        <w:trPr>
          <w:trHeight w:val="0" w:hRule="atLeast"/>
          <w:jc w:val="center"/>
        </w:trPr>
        <w:tc>
          <w:tcPr>
            <w:tcW w:w="287" w:type="pct"/>
          </w:tcPr>
          <w:p w14:paraId="6C5D9AF9">
            <w:pPr>
              <w:pStyle w:val="26"/>
              <w:snapToGrid w:val="0"/>
              <w:spacing w:before="49"/>
              <w:ind w:left="37"/>
              <w:rPr>
                <w:rFonts w:hint="eastAsia" w:ascii="华文楷体" w:hAnsi="华文楷体" w:eastAsia="华文楷体" w:cs="华文楷体"/>
                <w:b/>
                <w:sz w:val="18"/>
              </w:rPr>
            </w:pPr>
            <w:r>
              <w:rPr>
                <w:rFonts w:hint="eastAsia" w:ascii="华文楷体" w:hAnsi="华文楷体" w:eastAsia="华文楷体" w:cs="华文楷体"/>
                <w:b/>
                <w:spacing w:val="-5"/>
                <w:sz w:val="18"/>
              </w:rPr>
              <w:t>序号</w:t>
            </w:r>
          </w:p>
        </w:tc>
        <w:tc>
          <w:tcPr>
            <w:tcW w:w="278" w:type="pct"/>
          </w:tcPr>
          <w:p w14:paraId="3E4BB4C3">
            <w:pPr>
              <w:pStyle w:val="26"/>
              <w:snapToGrid w:val="0"/>
              <w:spacing w:before="49"/>
              <w:ind w:left="17"/>
              <w:jc w:val="center"/>
              <w:rPr>
                <w:rFonts w:hint="eastAsia" w:ascii="华文楷体" w:hAnsi="华文楷体" w:eastAsia="华文楷体" w:cs="华文楷体"/>
                <w:b/>
                <w:sz w:val="18"/>
              </w:rPr>
            </w:pPr>
            <w:r>
              <w:rPr>
                <w:rFonts w:hint="eastAsia" w:ascii="华文楷体" w:hAnsi="华文楷体" w:eastAsia="华文楷体" w:cs="华文楷体"/>
                <w:b/>
                <w:spacing w:val="-5"/>
                <w:sz w:val="18"/>
              </w:rPr>
              <w:t>料号</w:t>
            </w:r>
          </w:p>
        </w:tc>
        <w:tc>
          <w:tcPr>
            <w:tcW w:w="628" w:type="pct"/>
          </w:tcPr>
          <w:p w14:paraId="2037C6EE">
            <w:pPr>
              <w:pStyle w:val="26"/>
              <w:snapToGrid w:val="0"/>
              <w:spacing w:before="49"/>
              <w:ind w:left="352"/>
              <w:rPr>
                <w:rFonts w:hint="eastAsia" w:ascii="华文楷体" w:hAnsi="华文楷体" w:eastAsia="华文楷体" w:cs="华文楷体"/>
                <w:b/>
                <w:sz w:val="18"/>
              </w:rPr>
            </w:pPr>
            <w:r>
              <w:rPr>
                <w:rFonts w:hint="eastAsia" w:ascii="华文楷体" w:hAnsi="华文楷体" w:eastAsia="华文楷体" w:cs="华文楷体"/>
                <w:b/>
                <w:spacing w:val="-3"/>
                <w:sz w:val="18"/>
              </w:rPr>
              <w:t>产品名称</w:t>
            </w:r>
          </w:p>
        </w:tc>
        <w:tc>
          <w:tcPr>
            <w:tcW w:w="658" w:type="pct"/>
          </w:tcPr>
          <w:p w14:paraId="5D0C5A79">
            <w:pPr>
              <w:pStyle w:val="26"/>
              <w:snapToGrid w:val="0"/>
              <w:spacing w:before="49"/>
              <w:ind w:left="412"/>
              <w:rPr>
                <w:rFonts w:hint="eastAsia" w:ascii="华文楷体" w:hAnsi="华文楷体" w:eastAsia="华文楷体" w:cs="华文楷体"/>
                <w:b/>
                <w:sz w:val="18"/>
              </w:rPr>
            </w:pPr>
            <w:r>
              <w:rPr>
                <w:rFonts w:hint="eastAsia" w:ascii="华文楷体" w:hAnsi="华文楷体" w:eastAsia="华文楷体" w:cs="华文楷体"/>
                <w:b/>
                <w:spacing w:val="-3"/>
                <w:sz w:val="18"/>
              </w:rPr>
              <w:t>规格描述</w:t>
            </w:r>
          </w:p>
        </w:tc>
        <w:tc>
          <w:tcPr>
            <w:tcW w:w="432" w:type="pct"/>
          </w:tcPr>
          <w:p w14:paraId="41BB7A81">
            <w:pPr>
              <w:pStyle w:val="26"/>
              <w:snapToGrid w:val="0"/>
              <w:spacing w:before="49"/>
              <w:ind w:left="322"/>
              <w:rPr>
                <w:rFonts w:hint="eastAsia" w:ascii="华文楷体" w:hAnsi="华文楷体" w:eastAsia="华文楷体" w:cs="华文楷体"/>
                <w:b/>
                <w:sz w:val="18"/>
              </w:rPr>
            </w:pPr>
            <w:r>
              <w:rPr>
                <w:rFonts w:hint="eastAsia" w:ascii="华文楷体" w:hAnsi="华文楷体" w:eastAsia="华文楷体" w:cs="华文楷体"/>
                <w:b/>
                <w:spacing w:val="-5"/>
                <w:sz w:val="18"/>
              </w:rPr>
              <w:t>型号</w:t>
            </w:r>
          </w:p>
        </w:tc>
        <w:tc>
          <w:tcPr>
            <w:tcW w:w="479" w:type="pct"/>
          </w:tcPr>
          <w:p w14:paraId="0DD05F13">
            <w:pPr>
              <w:pStyle w:val="26"/>
              <w:snapToGrid w:val="0"/>
              <w:spacing w:before="49"/>
              <w:ind w:left="53"/>
              <w:rPr>
                <w:rFonts w:hint="eastAsia" w:ascii="华文楷体" w:hAnsi="华文楷体" w:eastAsia="华文楷体" w:cs="华文楷体"/>
                <w:b/>
                <w:sz w:val="18"/>
              </w:rPr>
            </w:pPr>
            <w:r>
              <w:rPr>
                <w:rFonts w:hint="eastAsia" w:ascii="华文楷体" w:hAnsi="华文楷体" w:eastAsia="华文楷体" w:cs="华文楷体"/>
                <w:b/>
                <w:spacing w:val="-3"/>
                <w:sz w:val="18"/>
              </w:rPr>
              <w:t>计量单位</w:t>
            </w:r>
          </w:p>
        </w:tc>
        <w:tc>
          <w:tcPr>
            <w:tcW w:w="349" w:type="pct"/>
          </w:tcPr>
          <w:p w14:paraId="70361897">
            <w:pPr>
              <w:pStyle w:val="26"/>
              <w:snapToGrid w:val="0"/>
              <w:spacing w:before="49"/>
              <w:ind w:left="160"/>
              <w:rPr>
                <w:rFonts w:hint="eastAsia" w:ascii="华文楷体" w:hAnsi="华文楷体" w:eastAsia="华文楷体" w:cs="华文楷体"/>
                <w:b/>
                <w:sz w:val="18"/>
              </w:rPr>
            </w:pPr>
            <w:r>
              <w:rPr>
                <w:rFonts w:hint="eastAsia" w:ascii="华文楷体" w:hAnsi="华文楷体" w:eastAsia="华文楷体" w:cs="华文楷体"/>
                <w:b/>
                <w:spacing w:val="-5"/>
                <w:sz w:val="18"/>
              </w:rPr>
              <w:t>数量</w:t>
            </w:r>
          </w:p>
        </w:tc>
        <w:tc>
          <w:tcPr>
            <w:tcW w:w="737" w:type="pct"/>
          </w:tcPr>
          <w:p w14:paraId="518480D7">
            <w:pPr>
              <w:pStyle w:val="26"/>
              <w:snapToGrid w:val="0"/>
              <w:spacing w:before="49"/>
              <w:ind w:left="55"/>
              <w:rPr>
                <w:rFonts w:hint="eastAsia" w:ascii="华文楷体" w:hAnsi="华文楷体" w:eastAsia="华文楷体" w:cs="华文楷体"/>
                <w:b/>
                <w:sz w:val="18"/>
              </w:rPr>
            </w:pPr>
            <w:r>
              <w:rPr>
                <w:rFonts w:hint="eastAsia" w:ascii="华文楷体" w:hAnsi="华文楷体" w:eastAsia="华文楷体" w:cs="华文楷体"/>
                <w:b/>
                <w:spacing w:val="-4"/>
                <w:sz w:val="18"/>
              </w:rPr>
              <w:t>含税单价</w:t>
            </w:r>
            <w:r>
              <w:rPr>
                <w:rFonts w:hint="eastAsia" w:ascii="华文楷体" w:hAnsi="华文楷体" w:eastAsia="华文楷体" w:cs="华文楷体"/>
                <w:b/>
                <w:bCs w:val="0"/>
                <w:color w:val="auto"/>
                <w:spacing w:val="-4"/>
                <w:sz w:val="18"/>
              </w:rPr>
              <w:t>（元）</w:t>
            </w:r>
          </w:p>
        </w:tc>
        <w:tc>
          <w:tcPr>
            <w:tcW w:w="477" w:type="pct"/>
          </w:tcPr>
          <w:p w14:paraId="240E22DA">
            <w:pPr>
              <w:pStyle w:val="26"/>
              <w:snapToGrid w:val="0"/>
              <w:spacing w:before="49"/>
              <w:ind w:left="52"/>
              <w:rPr>
                <w:rFonts w:hint="eastAsia" w:ascii="华文楷体" w:hAnsi="华文楷体" w:eastAsia="华文楷体" w:cs="华文楷体"/>
                <w:b/>
                <w:sz w:val="18"/>
              </w:rPr>
            </w:pPr>
            <w:r>
              <w:rPr>
                <w:rFonts w:hint="eastAsia" w:ascii="华文楷体" w:hAnsi="华文楷体" w:eastAsia="华文楷体" w:cs="华文楷体"/>
                <w:b/>
                <w:spacing w:val="-3"/>
                <w:sz w:val="18"/>
              </w:rPr>
              <w:t>小计金额</w:t>
            </w:r>
          </w:p>
        </w:tc>
        <w:tc>
          <w:tcPr>
            <w:tcW w:w="670" w:type="pct"/>
          </w:tcPr>
          <w:p w14:paraId="71335E7C">
            <w:pPr>
              <w:pStyle w:val="26"/>
              <w:snapToGrid w:val="0"/>
              <w:spacing w:before="49"/>
              <w:ind w:left="70"/>
              <w:rPr>
                <w:rFonts w:hint="eastAsia" w:ascii="华文楷体" w:hAnsi="华文楷体" w:eastAsia="华文楷体" w:cs="华文楷体"/>
                <w:b/>
                <w:sz w:val="18"/>
              </w:rPr>
            </w:pPr>
            <w:r>
              <w:rPr>
                <w:rFonts w:hint="eastAsia" w:ascii="华文楷体" w:hAnsi="华文楷体" w:eastAsia="华文楷体" w:cs="华文楷体"/>
                <w:b/>
                <w:spacing w:val="-2"/>
                <w:sz w:val="18"/>
              </w:rPr>
              <w:t>最晚交货日期</w:t>
            </w:r>
          </w:p>
        </w:tc>
      </w:tr>
      <w:tr w14:paraId="1DE824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6" w:type="dxa"/>
            <w:left w:w="96" w:type="dxa"/>
            <w:bottom w:w="56" w:type="dxa"/>
            <w:right w:w="96" w:type="dxa"/>
          </w:tblCellMar>
        </w:tblPrEx>
        <w:trPr>
          <w:trHeight w:val="0" w:hRule="atLeast"/>
          <w:jc w:val="center"/>
        </w:trPr>
        <w:tc>
          <w:tcPr>
            <w:tcW w:w="287" w:type="pct"/>
          </w:tcPr>
          <w:p w14:paraId="4838395F">
            <w:pPr>
              <w:pStyle w:val="26"/>
              <w:snapToGrid w:val="0"/>
              <w:spacing w:before="16"/>
              <w:jc w:val="center"/>
              <w:rPr>
                <w:rFonts w:hint="eastAsia" w:ascii="华文楷体" w:hAnsi="华文楷体" w:eastAsia="华文楷体" w:cs="华文楷体"/>
                <w:sz w:val="18"/>
              </w:rPr>
            </w:pPr>
          </w:p>
          <w:p w14:paraId="14AA926D">
            <w:pPr>
              <w:pStyle w:val="26"/>
              <w:snapToGrid w:val="0"/>
              <w:ind w:left="37"/>
              <w:jc w:val="center"/>
              <w:rPr>
                <w:rFonts w:hint="eastAsia" w:ascii="华文楷体" w:hAnsi="华文楷体" w:eastAsia="华文楷体" w:cs="华文楷体"/>
                <w:sz w:val="18"/>
              </w:rPr>
            </w:pPr>
            <w:r>
              <w:rPr>
                <w:rFonts w:hint="eastAsia" w:ascii="华文楷体" w:hAnsi="华文楷体" w:eastAsia="华文楷体" w:cs="华文楷体"/>
                <w:spacing w:val="-10"/>
                <w:sz w:val="18"/>
              </w:rPr>
              <w:t>1</w:t>
            </w:r>
          </w:p>
        </w:tc>
        <w:tc>
          <w:tcPr>
            <w:tcW w:w="278" w:type="pct"/>
          </w:tcPr>
          <w:p w14:paraId="078ACCF2">
            <w:pPr>
              <w:pStyle w:val="26"/>
              <w:snapToGrid w:val="0"/>
              <w:ind w:left="17" w:right="30"/>
              <w:jc w:val="center"/>
              <w:rPr>
                <w:rFonts w:hint="eastAsia" w:ascii="华文楷体" w:hAnsi="华文楷体" w:eastAsia="华文楷体" w:cs="华文楷体"/>
                <w:sz w:val="18"/>
              </w:rPr>
            </w:pPr>
          </w:p>
        </w:tc>
        <w:tc>
          <w:tcPr>
            <w:tcW w:w="628" w:type="pct"/>
          </w:tcPr>
          <w:p w14:paraId="2B950205">
            <w:pPr>
              <w:pStyle w:val="26"/>
              <w:snapToGrid w:val="0"/>
              <w:ind w:left="38"/>
              <w:jc w:val="center"/>
              <w:rPr>
                <w:rFonts w:hint="eastAsia" w:ascii="华文楷体" w:hAnsi="华文楷体" w:eastAsia="华文楷体" w:cs="华文楷体"/>
                <w:sz w:val="18"/>
              </w:rPr>
            </w:pPr>
          </w:p>
        </w:tc>
        <w:tc>
          <w:tcPr>
            <w:tcW w:w="658" w:type="pct"/>
          </w:tcPr>
          <w:p w14:paraId="761654CF">
            <w:pPr>
              <w:pStyle w:val="26"/>
              <w:snapToGrid w:val="0"/>
              <w:spacing w:line="240" w:lineRule="atLeast"/>
              <w:ind w:left="22" w:right="1"/>
              <w:jc w:val="center"/>
              <w:rPr>
                <w:rFonts w:hint="eastAsia" w:ascii="华文楷体" w:hAnsi="华文楷体" w:eastAsia="华文楷体" w:cs="华文楷体"/>
                <w:sz w:val="18"/>
              </w:rPr>
            </w:pPr>
          </w:p>
        </w:tc>
        <w:tc>
          <w:tcPr>
            <w:tcW w:w="432" w:type="pct"/>
          </w:tcPr>
          <w:p w14:paraId="17CE0892">
            <w:pPr>
              <w:pStyle w:val="26"/>
              <w:snapToGrid w:val="0"/>
              <w:ind w:left="39"/>
              <w:jc w:val="center"/>
              <w:rPr>
                <w:rFonts w:hint="eastAsia" w:ascii="华文楷体" w:hAnsi="华文楷体" w:eastAsia="华文楷体" w:cs="华文楷体"/>
                <w:sz w:val="18"/>
              </w:rPr>
            </w:pPr>
          </w:p>
        </w:tc>
        <w:tc>
          <w:tcPr>
            <w:tcW w:w="479" w:type="pct"/>
          </w:tcPr>
          <w:p w14:paraId="49A99219">
            <w:pPr>
              <w:pStyle w:val="26"/>
              <w:snapToGrid w:val="0"/>
              <w:ind w:left="53"/>
              <w:jc w:val="center"/>
              <w:rPr>
                <w:rFonts w:hint="eastAsia" w:ascii="华文楷体" w:hAnsi="华文楷体" w:eastAsia="华文楷体" w:cs="华文楷体"/>
                <w:sz w:val="18"/>
              </w:rPr>
            </w:pPr>
          </w:p>
        </w:tc>
        <w:tc>
          <w:tcPr>
            <w:tcW w:w="349" w:type="pct"/>
          </w:tcPr>
          <w:p w14:paraId="5EFC1725">
            <w:pPr>
              <w:pStyle w:val="26"/>
              <w:snapToGrid w:val="0"/>
              <w:ind w:left="54"/>
              <w:jc w:val="center"/>
              <w:rPr>
                <w:rFonts w:hint="eastAsia" w:ascii="华文楷体" w:hAnsi="华文楷体" w:eastAsia="华文楷体" w:cs="华文楷体"/>
                <w:sz w:val="18"/>
              </w:rPr>
            </w:pPr>
          </w:p>
        </w:tc>
        <w:tc>
          <w:tcPr>
            <w:tcW w:w="737" w:type="pct"/>
          </w:tcPr>
          <w:p w14:paraId="330DB1FC">
            <w:pPr>
              <w:pStyle w:val="26"/>
              <w:snapToGrid w:val="0"/>
              <w:ind w:left="55"/>
              <w:jc w:val="center"/>
              <w:rPr>
                <w:rFonts w:hint="eastAsia" w:ascii="华文楷体" w:hAnsi="华文楷体" w:eastAsia="华文楷体" w:cs="华文楷体"/>
                <w:sz w:val="18"/>
              </w:rPr>
            </w:pPr>
          </w:p>
        </w:tc>
        <w:tc>
          <w:tcPr>
            <w:tcW w:w="477" w:type="pct"/>
          </w:tcPr>
          <w:p w14:paraId="6B80C5B9">
            <w:pPr>
              <w:pStyle w:val="26"/>
              <w:snapToGrid w:val="0"/>
              <w:ind w:right="155"/>
              <w:jc w:val="center"/>
              <w:rPr>
                <w:rFonts w:hint="eastAsia" w:ascii="华文楷体" w:hAnsi="华文楷体" w:eastAsia="华文楷体" w:cs="华文楷体"/>
                <w:sz w:val="18"/>
              </w:rPr>
            </w:pPr>
          </w:p>
        </w:tc>
        <w:tc>
          <w:tcPr>
            <w:tcW w:w="670" w:type="pct"/>
          </w:tcPr>
          <w:p w14:paraId="1F5E4226">
            <w:pPr>
              <w:pStyle w:val="26"/>
              <w:snapToGrid w:val="0"/>
              <w:ind w:left="56"/>
              <w:jc w:val="center"/>
              <w:rPr>
                <w:rFonts w:hint="eastAsia" w:ascii="华文楷体" w:hAnsi="华文楷体" w:eastAsia="华文楷体" w:cs="华文楷体"/>
                <w:sz w:val="18"/>
              </w:rPr>
            </w:pPr>
          </w:p>
        </w:tc>
      </w:tr>
      <w:tr w14:paraId="6BF92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6" w:type="dxa"/>
            <w:left w:w="96" w:type="dxa"/>
            <w:bottom w:w="56" w:type="dxa"/>
            <w:right w:w="96" w:type="dxa"/>
          </w:tblCellMar>
        </w:tblPrEx>
        <w:trPr>
          <w:trHeight w:val="0" w:hRule="atLeast"/>
          <w:jc w:val="center"/>
        </w:trPr>
        <w:tc>
          <w:tcPr>
            <w:tcW w:w="287" w:type="pct"/>
          </w:tcPr>
          <w:p w14:paraId="15C5ED97">
            <w:pPr>
              <w:pStyle w:val="26"/>
              <w:snapToGrid w:val="0"/>
              <w:spacing w:before="137"/>
              <w:jc w:val="center"/>
              <w:rPr>
                <w:rFonts w:hint="eastAsia" w:ascii="华文楷体" w:hAnsi="华文楷体" w:eastAsia="华文楷体" w:cs="华文楷体"/>
                <w:sz w:val="18"/>
              </w:rPr>
            </w:pPr>
          </w:p>
          <w:p w14:paraId="63A20749">
            <w:pPr>
              <w:pStyle w:val="26"/>
              <w:snapToGrid w:val="0"/>
              <w:spacing w:before="1"/>
              <w:ind w:left="37"/>
              <w:jc w:val="center"/>
              <w:rPr>
                <w:rFonts w:hint="eastAsia" w:ascii="华文楷体" w:hAnsi="华文楷体" w:eastAsia="华文楷体" w:cs="华文楷体"/>
                <w:sz w:val="18"/>
              </w:rPr>
            </w:pPr>
            <w:r>
              <w:rPr>
                <w:rFonts w:hint="eastAsia" w:ascii="华文楷体" w:hAnsi="华文楷体" w:eastAsia="华文楷体" w:cs="华文楷体"/>
                <w:spacing w:val="-10"/>
                <w:sz w:val="18"/>
              </w:rPr>
              <w:t>2</w:t>
            </w:r>
          </w:p>
        </w:tc>
        <w:tc>
          <w:tcPr>
            <w:tcW w:w="278" w:type="pct"/>
          </w:tcPr>
          <w:p w14:paraId="451308A6">
            <w:pPr>
              <w:pStyle w:val="26"/>
              <w:snapToGrid w:val="0"/>
              <w:spacing w:before="1"/>
              <w:ind w:left="17" w:right="30"/>
              <w:jc w:val="center"/>
              <w:rPr>
                <w:rFonts w:hint="eastAsia" w:ascii="华文楷体" w:hAnsi="华文楷体" w:eastAsia="华文楷体" w:cs="华文楷体"/>
                <w:sz w:val="18"/>
              </w:rPr>
            </w:pPr>
          </w:p>
        </w:tc>
        <w:tc>
          <w:tcPr>
            <w:tcW w:w="628" w:type="pct"/>
          </w:tcPr>
          <w:p w14:paraId="454DFAC0">
            <w:pPr>
              <w:pStyle w:val="26"/>
              <w:snapToGrid w:val="0"/>
              <w:ind w:left="38"/>
              <w:jc w:val="center"/>
              <w:rPr>
                <w:rFonts w:hint="eastAsia" w:ascii="华文楷体" w:hAnsi="华文楷体" w:eastAsia="华文楷体" w:cs="华文楷体"/>
                <w:sz w:val="18"/>
              </w:rPr>
            </w:pPr>
          </w:p>
        </w:tc>
        <w:tc>
          <w:tcPr>
            <w:tcW w:w="658" w:type="pct"/>
          </w:tcPr>
          <w:p w14:paraId="021FBE88">
            <w:pPr>
              <w:pStyle w:val="26"/>
              <w:snapToGrid w:val="0"/>
              <w:spacing w:line="235" w:lineRule="exact"/>
              <w:ind w:left="22"/>
              <w:jc w:val="center"/>
              <w:rPr>
                <w:rFonts w:hint="eastAsia" w:ascii="华文楷体" w:hAnsi="华文楷体" w:eastAsia="华文楷体" w:cs="华文楷体"/>
                <w:sz w:val="18"/>
              </w:rPr>
            </w:pPr>
          </w:p>
        </w:tc>
        <w:tc>
          <w:tcPr>
            <w:tcW w:w="432" w:type="pct"/>
          </w:tcPr>
          <w:p w14:paraId="604F8C97">
            <w:pPr>
              <w:pStyle w:val="26"/>
              <w:snapToGrid w:val="0"/>
              <w:ind w:left="39"/>
              <w:jc w:val="center"/>
              <w:rPr>
                <w:rFonts w:hint="eastAsia" w:ascii="华文楷体" w:hAnsi="华文楷体" w:eastAsia="华文楷体" w:cs="华文楷体"/>
                <w:sz w:val="18"/>
              </w:rPr>
            </w:pPr>
          </w:p>
        </w:tc>
        <w:tc>
          <w:tcPr>
            <w:tcW w:w="479" w:type="pct"/>
          </w:tcPr>
          <w:p w14:paraId="2D101D50">
            <w:pPr>
              <w:pStyle w:val="26"/>
              <w:snapToGrid w:val="0"/>
              <w:ind w:left="53"/>
              <w:jc w:val="center"/>
              <w:rPr>
                <w:rFonts w:hint="eastAsia" w:ascii="华文楷体" w:hAnsi="华文楷体" w:eastAsia="华文楷体" w:cs="华文楷体"/>
                <w:sz w:val="18"/>
              </w:rPr>
            </w:pPr>
          </w:p>
        </w:tc>
        <w:tc>
          <w:tcPr>
            <w:tcW w:w="349" w:type="pct"/>
          </w:tcPr>
          <w:p w14:paraId="3BC2AA6D">
            <w:pPr>
              <w:pStyle w:val="26"/>
              <w:snapToGrid w:val="0"/>
              <w:spacing w:before="1"/>
              <w:ind w:left="54"/>
              <w:jc w:val="center"/>
              <w:rPr>
                <w:rFonts w:hint="eastAsia" w:ascii="华文楷体" w:hAnsi="华文楷体" w:eastAsia="华文楷体" w:cs="华文楷体"/>
                <w:sz w:val="18"/>
              </w:rPr>
            </w:pPr>
          </w:p>
        </w:tc>
        <w:tc>
          <w:tcPr>
            <w:tcW w:w="737" w:type="pct"/>
          </w:tcPr>
          <w:p w14:paraId="29E8D593">
            <w:pPr>
              <w:pStyle w:val="26"/>
              <w:snapToGrid w:val="0"/>
              <w:spacing w:before="1"/>
              <w:ind w:left="55"/>
              <w:jc w:val="center"/>
              <w:rPr>
                <w:rFonts w:hint="eastAsia" w:ascii="华文楷体" w:hAnsi="华文楷体" w:eastAsia="华文楷体" w:cs="华文楷体"/>
                <w:sz w:val="18"/>
              </w:rPr>
            </w:pPr>
          </w:p>
        </w:tc>
        <w:tc>
          <w:tcPr>
            <w:tcW w:w="477" w:type="pct"/>
          </w:tcPr>
          <w:p w14:paraId="4ECB789F">
            <w:pPr>
              <w:pStyle w:val="26"/>
              <w:snapToGrid w:val="0"/>
              <w:spacing w:before="1"/>
              <w:ind w:right="51"/>
              <w:jc w:val="center"/>
              <w:rPr>
                <w:rFonts w:hint="eastAsia" w:ascii="华文楷体" w:hAnsi="华文楷体" w:eastAsia="华文楷体" w:cs="华文楷体"/>
                <w:sz w:val="18"/>
              </w:rPr>
            </w:pPr>
          </w:p>
        </w:tc>
        <w:tc>
          <w:tcPr>
            <w:tcW w:w="670" w:type="pct"/>
          </w:tcPr>
          <w:p w14:paraId="7ECAD787">
            <w:pPr>
              <w:pStyle w:val="26"/>
              <w:snapToGrid w:val="0"/>
              <w:spacing w:before="1"/>
              <w:ind w:left="56"/>
              <w:jc w:val="center"/>
              <w:rPr>
                <w:rFonts w:hint="eastAsia" w:ascii="华文楷体" w:hAnsi="华文楷体" w:eastAsia="华文楷体" w:cs="华文楷体"/>
                <w:sz w:val="18"/>
              </w:rPr>
            </w:pPr>
          </w:p>
        </w:tc>
      </w:tr>
      <w:tr w14:paraId="0DF436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6" w:type="dxa"/>
            <w:left w:w="96" w:type="dxa"/>
            <w:bottom w:w="56" w:type="dxa"/>
            <w:right w:w="96" w:type="dxa"/>
          </w:tblCellMar>
        </w:tblPrEx>
        <w:trPr>
          <w:trHeight w:val="0" w:hRule="atLeast"/>
          <w:jc w:val="center"/>
        </w:trPr>
        <w:tc>
          <w:tcPr>
            <w:tcW w:w="2765" w:type="pct"/>
            <w:gridSpan w:val="6"/>
          </w:tcPr>
          <w:p w14:paraId="68B67998">
            <w:pPr>
              <w:pStyle w:val="26"/>
              <w:snapToGrid w:val="0"/>
              <w:spacing w:before="93"/>
              <w:ind w:right="90"/>
              <w:jc w:val="right"/>
              <w:rPr>
                <w:rFonts w:hint="eastAsia" w:ascii="华文楷体" w:hAnsi="华文楷体" w:eastAsia="华文楷体" w:cs="华文楷体"/>
                <w:position w:val="1"/>
                <w:sz w:val="18"/>
              </w:rPr>
            </w:pPr>
            <w:r>
              <w:rPr>
                <w:rFonts w:hint="eastAsia" w:ascii="华文楷体" w:hAnsi="华文楷体" w:eastAsia="华文楷体" w:cs="华文楷体"/>
                <w:spacing w:val="-2"/>
                <w:sz w:val="18"/>
              </w:rPr>
              <w:t>累计总金额</w:t>
            </w:r>
            <w:r>
              <w:rPr>
                <w:rFonts w:hint="eastAsia" w:ascii="华文楷体" w:hAnsi="华文楷体" w:eastAsia="华文楷体" w:cs="华文楷体"/>
                <w:spacing w:val="-10"/>
                <w:position w:val="1"/>
                <w:sz w:val="18"/>
              </w:rPr>
              <w:t>:</w:t>
            </w:r>
          </w:p>
        </w:tc>
        <w:tc>
          <w:tcPr>
            <w:tcW w:w="2234" w:type="pct"/>
            <w:gridSpan w:val="4"/>
          </w:tcPr>
          <w:p w14:paraId="37F23CAD">
            <w:pPr>
              <w:pStyle w:val="26"/>
              <w:snapToGrid w:val="0"/>
              <w:spacing w:before="98"/>
              <w:ind w:left="159"/>
              <w:rPr>
                <w:rFonts w:hint="eastAsia" w:ascii="华文楷体" w:hAnsi="华文楷体" w:eastAsia="华文楷体" w:cs="华文楷体"/>
                <w:sz w:val="18"/>
              </w:rPr>
            </w:pPr>
          </w:p>
        </w:tc>
      </w:tr>
      <w:tr w14:paraId="72EE1B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6" w:type="dxa"/>
            <w:left w:w="96" w:type="dxa"/>
            <w:bottom w:w="56" w:type="dxa"/>
            <w:right w:w="96" w:type="dxa"/>
          </w:tblCellMar>
        </w:tblPrEx>
        <w:trPr>
          <w:trHeight w:val="0" w:hRule="atLeast"/>
          <w:jc w:val="center"/>
        </w:trPr>
        <w:tc>
          <w:tcPr>
            <w:tcW w:w="5000" w:type="pct"/>
            <w:gridSpan w:val="10"/>
          </w:tcPr>
          <w:p w14:paraId="73AC7FD3">
            <w:pPr>
              <w:pStyle w:val="26"/>
              <w:snapToGrid w:val="0"/>
              <w:spacing w:before="18"/>
              <w:ind w:left="37"/>
              <w:rPr>
                <w:rFonts w:hint="eastAsia" w:ascii="华文楷体" w:hAnsi="华文楷体" w:eastAsia="华文楷体" w:cs="华文楷体"/>
                <w:sz w:val="18"/>
              </w:rPr>
            </w:pPr>
            <w:r>
              <w:rPr>
                <w:rFonts w:hint="eastAsia" w:ascii="华文楷体" w:hAnsi="华文楷体" w:eastAsia="华文楷体" w:cs="华文楷体"/>
                <w:spacing w:val="-4"/>
                <w:sz w:val="18"/>
              </w:rPr>
              <w:t>备注：</w:t>
            </w:r>
          </w:p>
          <w:p w14:paraId="5BF37EC9">
            <w:pPr>
              <w:pStyle w:val="26"/>
              <w:snapToGrid w:val="0"/>
              <w:spacing w:before="1"/>
              <w:ind w:left="23"/>
              <w:rPr>
                <w:rFonts w:hint="eastAsia" w:ascii="华文楷体" w:hAnsi="华文楷体" w:eastAsia="华文楷体" w:cs="华文楷体"/>
                <w:sz w:val="18"/>
              </w:rPr>
            </w:pPr>
            <w:r>
              <w:rPr>
                <w:rFonts w:hint="eastAsia" w:ascii="华文楷体" w:hAnsi="华文楷体" w:eastAsia="华文楷体" w:cs="华文楷体"/>
                <w:position w:val="2"/>
                <w:sz w:val="18"/>
              </w:rPr>
              <w:t>1.</w:t>
            </w:r>
            <w:r>
              <w:rPr>
                <w:rFonts w:hint="eastAsia" w:ascii="华文楷体" w:hAnsi="华文楷体" w:eastAsia="华文楷体" w:cs="华文楷体"/>
                <w:spacing w:val="-3"/>
                <w:sz w:val="18"/>
              </w:rPr>
              <w:t xml:space="preserve">以上价格含税，乙方开具税率为 </w:t>
            </w:r>
            <w:r>
              <w:rPr>
                <w:rFonts w:hint="eastAsia" w:ascii="华文楷体" w:hAnsi="华文楷体" w:eastAsia="华文楷体" w:cs="华文楷体"/>
                <w:position w:val="2"/>
                <w:sz w:val="18"/>
              </w:rPr>
              <w:t xml:space="preserve">  %</w:t>
            </w:r>
            <w:r>
              <w:rPr>
                <w:rFonts w:hint="eastAsia" w:ascii="华文楷体" w:hAnsi="华文楷体" w:eastAsia="华文楷体" w:cs="华文楷体"/>
                <w:spacing w:val="-2"/>
                <w:sz w:val="18"/>
              </w:rPr>
              <w:t>的   发票</w:t>
            </w:r>
          </w:p>
        </w:tc>
      </w:tr>
    </w:tbl>
    <w:p w14:paraId="5102EECA">
      <w:pPr>
        <w:pStyle w:val="2"/>
        <w:numPr>
          <w:ilvl w:val="0"/>
          <w:numId w:val="11"/>
        </w:numPr>
        <w:tabs>
          <w:tab w:val="left" w:pos="3279"/>
        </w:tabs>
        <w:autoSpaceDE w:val="0"/>
        <w:autoSpaceDN w:val="0"/>
        <w:spacing w:before="174" w:line="360" w:lineRule="auto"/>
        <w:ind w:left="28" w:right="147"/>
        <w:jc w:val="left"/>
        <w:rPr>
          <w:rFonts w:hint="eastAsia" w:ascii="华文楷体" w:hAnsi="华文楷体" w:cs="华文楷体"/>
          <w:spacing w:val="-11"/>
          <w:kern w:val="0"/>
          <w:sz w:val="21"/>
          <w:szCs w:val="21"/>
          <w:lang w:eastAsia="zh-CN"/>
        </w:rPr>
      </w:pPr>
      <w:r>
        <w:rPr>
          <w:rFonts w:hint="eastAsia" w:ascii="华文楷体" w:hAnsi="华文楷体" w:cs="华文楷体"/>
          <w:spacing w:val="-11"/>
          <w:kern w:val="0"/>
          <w:sz w:val="21"/>
          <w:szCs w:val="21"/>
        </w:rPr>
        <w:t xml:space="preserve">地址及数量： 交货地址:   </w:t>
      </w:r>
      <w:r>
        <w:rPr>
          <w:rFonts w:hint="eastAsia" w:ascii="华文楷体" w:hAnsi="华文楷体" w:cs="华文楷体"/>
          <w:spacing w:val="-11"/>
          <w:kern w:val="0"/>
          <w:sz w:val="21"/>
          <w:szCs w:val="21"/>
          <w:lang w:eastAsia="zh-CN"/>
        </w:rPr>
        <w:tab/>
      </w:r>
    </w:p>
    <w:p w14:paraId="3783C3D7">
      <w:pPr>
        <w:pStyle w:val="2"/>
        <w:numPr>
          <w:ilvl w:val="0"/>
          <w:numId w:val="0"/>
        </w:numPr>
        <w:tabs>
          <w:tab w:val="left" w:pos="3279"/>
        </w:tabs>
        <w:autoSpaceDE w:val="0"/>
        <w:autoSpaceDN w:val="0"/>
        <w:spacing w:before="174" w:line="360" w:lineRule="auto"/>
        <w:ind w:right="147" w:rightChars="0"/>
        <w:jc w:val="left"/>
        <w:rPr>
          <w:rFonts w:hint="eastAsia" w:ascii="华文楷体" w:hAnsi="华文楷体" w:cs="华文楷体"/>
          <w:spacing w:val="-11"/>
          <w:kern w:val="0"/>
          <w:sz w:val="21"/>
          <w:szCs w:val="21"/>
          <w:lang w:eastAsia="zh-CN"/>
        </w:rPr>
      </w:pPr>
    </w:p>
    <w:p w14:paraId="543FDDF5">
      <w:pPr>
        <w:pStyle w:val="2"/>
        <w:autoSpaceDE w:val="0"/>
        <w:autoSpaceDN w:val="0"/>
        <w:spacing w:before="174" w:line="360" w:lineRule="auto"/>
        <w:ind w:left="28" w:right="147"/>
        <w:jc w:val="left"/>
        <w:rPr>
          <w:rFonts w:hint="eastAsia" w:ascii="华文楷体" w:hAnsi="华文楷体" w:cs="华文楷体"/>
          <w:spacing w:val="-11"/>
          <w:kern w:val="0"/>
          <w:sz w:val="21"/>
          <w:szCs w:val="21"/>
        </w:rPr>
      </w:pPr>
      <w:r>
        <w:rPr>
          <w:rFonts w:hint="eastAsia" w:ascii="华文楷体" w:hAnsi="华文楷体" w:cs="华文楷体"/>
          <w:spacing w:val="-11"/>
          <w:kern w:val="0"/>
          <w:sz w:val="21"/>
          <w:szCs w:val="21"/>
        </w:rPr>
        <w:t>三、送货单</w:t>
      </w:r>
      <w:r>
        <w:rPr>
          <w:rFonts w:hint="eastAsia" w:ascii="华文楷体" w:hAnsi="华文楷体" w:cs="华文楷体"/>
          <w:spacing w:val="-11"/>
          <w:kern w:val="0"/>
          <w:sz w:val="21"/>
          <w:szCs w:val="21"/>
          <w:highlight w:val="none"/>
        </w:rPr>
        <w:t>：</w:t>
      </w:r>
      <w:r>
        <w:rPr>
          <w:rFonts w:hint="eastAsia" w:ascii="华文楷体" w:hAnsi="华文楷体" w:cs="华文楷体"/>
          <w:strike w:val="0"/>
          <w:dstrike w:val="0"/>
          <w:spacing w:val="-11"/>
          <w:kern w:val="0"/>
          <w:sz w:val="21"/>
          <w:szCs w:val="21"/>
          <w:highlight w:val="none"/>
          <w:lang w:eastAsia="zh-CN"/>
        </w:rPr>
        <w:t>乙</w:t>
      </w:r>
      <w:r>
        <w:rPr>
          <w:rFonts w:hint="eastAsia" w:ascii="华文楷体" w:hAnsi="华文楷体" w:cs="华文楷体"/>
          <w:spacing w:val="-11"/>
          <w:kern w:val="0"/>
          <w:sz w:val="21"/>
          <w:szCs w:val="21"/>
          <w:highlight w:val="none"/>
        </w:rPr>
        <w:t>方需在送货单上盖章，并注明订单号及货项编号、</w:t>
      </w:r>
      <w:r>
        <w:rPr>
          <w:rFonts w:hint="eastAsia" w:ascii="华文楷体" w:hAnsi="华文楷体" w:cs="华文楷体"/>
          <w:spacing w:val="-11"/>
          <w:kern w:val="0"/>
          <w:sz w:val="21"/>
          <w:szCs w:val="21"/>
          <w:highlight w:val="none"/>
          <w:lang w:eastAsia="zh-CN"/>
        </w:rPr>
        <w:t>品名、规格、</w:t>
      </w:r>
      <w:r>
        <w:rPr>
          <w:rFonts w:hint="eastAsia" w:ascii="华文楷体" w:hAnsi="华文楷体" w:cs="华文楷体"/>
          <w:spacing w:val="-11"/>
          <w:kern w:val="0"/>
          <w:sz w:val="21"/>
          <w:szCs w:val="21"/>
          <w:highlight w:val="none"/>
        </w:rPr>
        <w:t>数量、等基本信息</w:t>
      </w:r>
      <w:r>
        <w:rPr>
          <w:rFonts w:hint="eastAsia" w:ascii="华文楷体" w:hAnsi="华文楷体" w:cs="华文楷体"/>
          <w:spacing w:val="-11"/>
          <w:kern w:val="0"/>
          <w:sz w:val="21"/>
          <w:szCs w:val="21"/>
        </w:rPr>
        <w:t>，送货单需甲方交接人员签收（仅对数量、规格等签收，不作为质量是否合格的判断依据）。</w:t>
      </w:r>
    </w:p>
    <w:p w14:paraId="1AD3014D">
      <w:pPr>
        <w:pStyle w:val="2"/>
        <w:spacing w:line="280" w:lineRule="auto"/>
        <w:ind w:left="26" w:right="146"/>
        <w:rPr>
          <w:rFonts w:hint="eastAsia" w:ascii="华文楷体" w:hAnsi="华文楷体" w:eastAsia="华文楷体"/>
          <w:spacing w:val="-2"/>
        </w:rPr>
      </w:pPr>
    </w:p>
    <w:p w14:paraId="3FFE1327">
      <w:pPr>
        <w:pStyle w:val="2"/>
        <w:spacing w:line="280" w:lineRule="auto"/>
        <w:ind w:left="26" w:right="146"/>
        <w:rPr>
          <w:rFonts w:hint="eastAsia" w:ascii="华文楷体" w:hAnsi="华文楷体" w:eastAsia="华文楷体"/>
          <w:spacing w:val="-2"/>
        </w:rPr>
      </w:pPr>
    </w:p>
    <w:p w14:paraId="6CECD0DF">
      <w:pPr>
        <w:pStyle w:val="2"/>
        <w:spacing w:before="89" w:line="398" w:lineRule="auto"/>
        <w:ind w:left="477" w:right="1795"/>
        <w:jc w:val="right"/>
        <w:rPr>
          <w:rFonts w:hint="eastAsia" w:ascii="华文楷体" w:hAnsi="华文楷体" w:eastAsia="华文楷体"/>
          <w:spacing w:val="-2"/>
          <w:sz w:val="21"/>
          <w:szCs w:val="21"/>
        </w:rPr>
      </w:pPr>
      <w:r>
        <w:rPr>
          <w:rFonts w:hint="eastAsia" w:ascii="华文楷体" w:hAnsi="华文楷体" w:eastAsia="华文楷体"/>
          <w:spacing w:val="-2"/>
          <w:sz w:val="21"/>
          <w:szCs w:val="21"/>
        </w:rPr>
        <w:t>甲方</w:t>
      </w:r>
      <w:r>
        <w:rPr>
          <w:rFonts w:hint="eastAsia" w:ascii="华文楷体" w:hAnsi="华文楷体" w:eastAsia="华文楷体"/>
          <w:spacing w:val="-2"/>
          <w:position w:val="2"/>
          <w:sz w:val="21"/>
          <w:szCs w:val="21"/>
        </w:rPr>
        <w:t>(</w:t>
      </w:r>
      <w:r>
        <w:rPr>
          <w:rFonts w:hint="eastAsia" w:ascii="华文楷体" w:hAnsi="华文楷体" w:eastAsia="华文楷体"/>
          <w:spacing w:val="-2"/>
          <w:sz w:val="21"/>
          <w:szCs w:val="21"/>
        </w:rPr>
        <w:t>盖章</w:t>
      </w:r>
      <w:r>
        <w:rPr>
          <w:rFonts w:hint="eastAsia" w:ascii="华文楷体" w:hAnsi="华文楷体" w:eastAsia="华文楷体"/>
          <w:spacing w:val="-2"/>
          <w:position w:val="2"/>
          <w:sz w:val="21"/>
          <w:szCs w:val="21"/>
        </w:rPr>
        <w:t>)</w:t>
      </w:r>
      <w:r>
        <w:rPr>
          <w:rFonts w:hint="eastAsia" w:ascii="华文楷体" w:hAnsi="华文楷体" w:eastAsia="华文楷体"/>
          <w:spacing w:val="-2"/>
          <w:sz w:val="21"/>
          <w:szCs w:val="21"/>
        </w:rPr>
        <w:t xml:space="preserve">： </w:t>
      </w:r>
    </w:p>
    <w:p w14:paraId="77D9C747">
      <w:pPr>
        <w:pStyle w:val="2"/>
        <w:spacing w:before="89" w:line="398" w:lineRule="auto"/>
        <w:ind w:right="1795" w:firstLine="8034" w:firstLineChars="3900"/>
        <w:jc w:val="both"/>
        <w:rPr>
          <w:rFonts w:hint="eastAsia" w:ascii="华文楷体" w:hAnsi="华文楷体" w:eastAsia="华文楷体"/>
          <w:spacing w:val="-2"/>
          <w:sz w:val="21"/>
          <w:szCs w:val="21"/>
        </w:rPr>
      </w:pPr>
      <w:r>
        <w:rPr>
          <w:rFonts w:hint="eastAsia" w:ascii="华文楷体" w:hAnsi="华文楷体" w:eastAsia="华文楷体"/>
          <w:spacing w:val="-2"/>
          <w:sz w:val="21"/>
          <w:szCs w:val="21"/>
        </w:rPr>
        <w:t xml:space="preserve">时间： </w:t>
      </w:r>
    </w:p>
    <w:p w14:paraId="34097861">
      <w:pPr>
        <w:rPr>
          <w:rFonts w:hint="eastAsia" w:ascii="华文楷体" w:hAnsi="华文楷体" w:eastAsia="华文楷体" w:cs="华文楷体"/>
          <w:b/>
          <w:szCs w:val="21"/>
        </w:rPr>
      </w:pPr>
    </w:p>
    <w:p w14:paraId="7FBF4B8C">
      <w:pPr>
        <w:rPr>
          <w:rFonts w:hint="eastAsia"/>
          <w:b/>
          <w:szCs w:val="21"/>
          <w:lang w:val="en-US" w:eastAsia="zh-CN"/>
        </w:rPr>
      </w:pPr>
      <w:r>
        <w:rPr>
          <w:rFonts w:hint="eastAsia"/>
          <w:b/>
          <w:szCs w:val="21"/>
          <w:lang w:val="en-US" w:eastAsia="zh-CN"/>
        </w:rPr>
        <w:br w:type="page"/>
      </w:r>
    </w:p>
    <w:p w14:paraId="594C0B82">
      <w:pPr>
        <w:pStyle w:val="2"/>
        <w:rPr>
          <w:rFonts w:ascii="华文楷体" w:hAnsi="华文楷体" w:eastAsia="华文楷体"/>
          <w:b/>
          <w:szCs w:val="21"/>
        </w:rPr>
      </w:pPr>
      <w:r>
        <w:rPr>
          <w:rFonts w:hint="eastAsia"/>
          <w:b/>
          <w:szCs w:val="21"/>
          <w:lang w:val="en-US" w:eastAsia="zh-CN"/>
        </w:rPr>
        <w:t>附件五：</w:t>
      </w:r>
      <w:r>
        <w:rPr>
          <w:rFonts w:hint="eastAsia" w:ascii="华文楷体" w:hAnsi="华文楷体" w:eastAsia="华文楷体"/>
          <w:b/>
          <w:szCs w:val="21"/>
        </w:rPr>
        <w:t>《甲方关联主体及付款方式》</w:t>
      </w:r>
    </w:p>
    <w:p w14:paraId="0F9DDFBF">
      <w:pPr>
        <w:spacing w:line="400" w:lineRule="exact"/>
        <w:rPr>
          <w:rFonts w:ascii="华文楷体" w:hAnsi="华文楷体" w:eastAsia="华文楷体"/>
          <w:szCs w:val="21"/>
        </w:rPr>
      </w:pPr>
      <w:r>
        <w:rPr>
          <w:rFonts w:hint="eastAsia" w:ascii="华文楷体" w:hAnsi="华文楷体" w:eastAsia="华文楷体"/>
          <w:b/>
          <w:szCs w:val="21"/>
        </w:rPr>
        <w:t>特别说明：</w:t>
      </w:r>
      <w:r>
        <w:rPr>
          <w:rFonts w:hint="eastAsia" w:ascii="华文楷体" w:hAnsi="华文楷体" w:eastAsia="华文楷体"/>
          <w:szCs w:val="21"/>
        </w:rPr>
        <w:t>下表中“自行出款”即由采购订单上的主体自行向乙方支付结算，“集团代付”即集团代采购订单上的主体向乙方支付结算（无需另行开具代付款的委托书）。发票开具事宜按本合同正文约定执行。</w:t>
      </w:r>
    </w:p>
    <w:tbl>
      <w:tblPr>
        <w:tblStyle w:val="10"/>
        <w:tblW w:w="10479" w:type="dxa"/>
        <w:tblInd w:w="0" w:type="dxa"/>
        <w:tblLayout w:type="autofit"/>
        <w:tblCellMar>
          <w:top w:w="0" w:type="dxa"/>
          <w:left w:w="108" w:type="dxa"/>
          <w:bottom w:w="0" w:type="dxa"/>
          <w:right w:w="108" w:type="dxa"/>
        </w:tblCellMar>
      </w:tblPr>
      <w:tblGrid>
        <w:gridCol w:w="1028"/>
        <w:gridCol w:w="4150"/>
        <w:gridCol w:w="955"/>
        <w:gridCol w:w="4346"/>
      </w:tblGrid>
      <w:tr w14:paraId="5D802B07">
        <w:tblPrEx>
          <w:tblCellMar>
            <w:top w:w="0" w:type="dxa"/>
            <w:left w:w="108" w:type="dxa"/>
            <w:bottom w:w="0" w:type="dxa"/>
            <w:right w:w="108" w:type="dxa"/>
          </w:tblCellMar>
        </w:tblPrEx>
        <w:trPr>
          <w:trHeight w:val="280" w:hRule="atLeast"/>
          <w:tblHeader/>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FA31D">
            <w:pPr>
              <w:widowControl/>
              <w:jc w:val="center"/>
              <w:textAlignment w:val="center"/>
              <w:rPr>
                <w:rFonts w:ascii="华文楷体" w:hAnsi="华文楷体" w:eastAsia="华文楷体" w:cs="华文楷体"/>
                <w:color w:val="0D0D0D"/>
                <w:kern w:val="0"/>
                <w:sz w:val="18"/>
                <w:szCs w:val="18"/>
              </w:rPr>
            </w:pPr>
            <w:r>
              <w:rPr>
                <w:rFonts w:hint="eastAsia" w:ascii="华文楷体" w:hAnsi="华文楷体" w:eastAsia="华文楷体" w:cs="华文楷体"/>
                <w:color w:val="0D0D0D"/>
                <w:kern w:val="0"/>
                <w:sz w:val="18"/>
                <w:szCs w:val="18"/>
                <w:lang w:bidi="ar"/>
              </w:rPr>
              <w:t>序号</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22929">
            <w:pPr>
              <w:widowControl/>
              <w:jc w:val="center"/>
              <w:textAlignment w:val="center"/>
              <w:rPr>
                <w:rFonts w:ascii="华文楷体" w:hAnsi="华文楷体" w:eastAsia="华文楷体" w:cs="华文楷体"/>
                <w:color w:val="0D0D0D"/>
                <w:kern w:val="0"/>
                <w:sz w:val="18"/>
                <w:szCs w:val="18"/>
              </w:rPr>
            </w:pPr>
            <w:r>
              <w:rPr>
                <w:rFonts w:hint="eastAsia" w:ascii="华文楷体" w:hAnsi="华文楷体" w:eastAsia="华文楷体" w:cs="华文楷体"/>
                <w:color w:val="0D0D0D"/>
                <w:kern w:val="0"/>
                <w:sz w:val="18"/>
                <w:szCs w:val="18"/>
                <w:lang w:bidi="ar"/>
              </w:rPr>
              <w:t>公司名称</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2E193">
            <w:pPr>
              <w:widowControl/>
              <w:jc w:val="center"/>
              <w:textAlignment w:val="center"/>
              <w:rPr>
                <w:rFonts w:ascii="华文楷体" w:hAnsi="华文楷体" w:eastAsia="华文楷体" w:cs="华文楷体"/>
                <w:color w:val="0D0D0D"/>
                <w:kern w:val="0"/>
                <w:sz w:val="18"/>
                <w:szCs w:val="18"/>
              </w:rPr>
            </w:pPr>
            <w:r>
              <w:rPr>
                <w:rFonts w:hint="eastAsia" w:ascii="华文楷体" w:hAnsi="华文楷体" w:eastAsia="华文楷体" w:cs="华文楷体"/>
                <w:color w:val="0D0D0D"/>
                <w:kern w:val="0"/>
                <w:sz w:val="18"/>
                <w:szCs w:val="18"/>
                <w:lang w:bidi="ar"/>
              </w:rPr>
              <w:t>序号</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4C400">
            <w:pPr>
              <w:widowControl/>
              <w:jc w:val="center"/>
              <w:textAlignment w:val="center"/>
              <w:rPr>
                <w:rFonts w:ascii="华文楷体" w:hAnsi="华文楷体" w:eastAsia="华文楷体" w:cs="华文楷体"/>
                <w:color w:val="0D0D0D"/>
                <w:kern w:val="0"/>
                <w:sz w:val="18"/>
                <w:szCs w:val="18"/>
              </w:rPr>
            </w:pPr>
            <w:r>
              <w:rPr>
                <w:rFonts w:hint="eastAsia" w:ascii="华文楷体" w:hAnsi="华文楷体" w:eastAsia="华文楷体" w:cs="华文楷体"/>
                <w:color w:val="0D0D0D"/>
                <w:kern w:val="0"/>
                <w:sz w:val="18"/>
                <w:szCs w:val="18"/>
                <w:lang w:bidi="ar"/>
              </w:rPr>
              <w:t>公司名称</w:t>
            </w:r>
          </w:p>
        </w:tc>
      </w:tr>
      <w:tr w14:paraId="68226314">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67E251">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913DE">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北京跨越速递有限公司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A96F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52</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E6BBFF">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呼和浩特跨航物流有限公司</w:t>
            </w:r>
          </w:p>
        </w:tc>
      </w:tr>
      <w:tr w14:paraId="6BD8F1E2">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83BFC">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2</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097D1">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常州跨越物流有限公司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1AC98">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53</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0C1B3">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湖州跨航物流有限公司</w:t>
            </w:r>
          </w:p>
        </w:tc>
      </w:tr>
      <w:tr w14:paraId="51B6687C">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B4FC4">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3</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38F95">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成都市跨海物流有限公司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EA4B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54</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C8DD92">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金华跨海物流有限公司</w:t>
            </w:r>
          </w:p>
        </w:tc>
      </w:tr>
      <w:tr w14:paraId="05FB40A2">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8438B">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4</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60236">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嘉兴市跨越速运有限公司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EE64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55</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E06C2">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w:t>
            </w:r>
          </w:p>
        </w:tc>
      </w:tr>
      <w:tr w14:paraId="0B34BB91">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8F7C1">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5</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FAEEF">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江苏跨航物流有限公司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FAA95">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56</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55B71">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跨越速运集团有限公司北京分公司</w:t>
            </w:r>
          </w:p>
        </w:tc>
      </w:tr>
      <w:tr w14:paraId="39BEB55E">
        <w:tblPrEx>
          <w:tblCellMar>
            <w:top w:w="0" w:type="dxa"/>
            <w:left w:w="108" w:type="dxa"/>
            <w:bottom w:w="0" w:type="dxa"/>
            <w:right w:w="108" w:type="dxa"/>
          </w:tblCellMar>
        </w:tblPrEx>
        <w:trPr>
          <w:trHeight w:val="623"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31FCA9">
            <w:pPr>
              <w:widowControl/>
              <w:jc w:val="center"/>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6</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E78C18">
            <w:pPr>
              <w:widowControl/>
              <w:jc w:val="left"/>
              <w:textAlignment w:val="center"/>
              <w:rPr>
                <w:rFonts w:ascii="华文楷体" w:hAnsi="华文楷体" w:eastAsia="华文楷体" w:cs="华文楷体"/>
                <w:kern w:val="0"/>
                <w:sz w:val="18"/>
                <w:szCs w:val="18"/>
              </w:rPr>
            </w:pPr>
            <w:r>
              <w:rPr>
                <w:rFonts w:hint="eastAsia" w:ascii="华文楷体" w:hAnsi="华文楷体" w:eastAsia="华文楷体" w:cs="华文楷体"/>
                <w:color w:val="000000"/>
                <w:kern w:val="0"/>
                <w:sz w:val="18"/>
                <w:szCs w:val="18"/>
                <w:lang w:bidi="ar"/>
              </w:rPr>
              <w:t>江苏领速物流有限公司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380312">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57</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9B431">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跨越速运集团有限公司厦门分公司</w:t>
            </w:r>
          </w:p>
        </w:tc>
      </w:tr>
      <w:tr w14:paraId="50955CA0">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D09A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FEAEE">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南昌市跨越物流有限公司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0FDCBF">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58</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58551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跨越速运集团有限公司汕头分公司</w:t>
            </w:r>
          </w:p>
        </w:tc>
      </w:tr>
      <w:tr w14:paraId="04457790">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8D0DA">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CA575">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南京跨越速运有限公司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4405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59</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DA10E">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跨越速运集团有限公司汕尾分公司</w:t>
            </w:r>
          </w:p>
        </w:tc>
      </w:tr>
      <w:tr w14:paraId="1A38E576">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8ED63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502A9">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宁波市跨宇物流有限公司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8E21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60</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CC4B1F">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跨越速运集团有限公司苏州跨航分公司</w:t>
            </w:r>
          </w:p>
        </w:tc>
      </w:tr>
      <w:tr w14:paraId="2088D193">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0F22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10</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E62AB">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宁波市跨越速运有限公司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33FE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61</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EB634">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拉萨跨海物流有限公司</w:t>
            </w:r>
          </w:p>
        </w:tc>
      </w:tr>
      <w:tr w14:paraId="78C6ACD7">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3A26A">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69B1D9">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青岛跨越物流有限公司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BEA0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62</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57735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南昌跨海物流有限公司</w:t>
            </w:r>
          </w:p>
        </w:tc>
      </w:tr>
      <w:tr w14:paraId="7FF0FA99">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AF16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12</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8D879">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山西跨越速运有限公司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594D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63</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DBC2F">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南京跨跃物流有限公司</w:t>
            </w:r>
          </w:p>
        </w:tc>
      </w:tr>
      <w:tr w14:paraId="01D3B9DE">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7385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13</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8232E">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上海跨越物流有限公司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F74A3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64</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0B0BE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南京跨越速运有限公司常州分公司</w:t>
            </w:r>
          </w:p>
        </w:tc>
      </w:tr>
      <w:tr w14:paraId="3DECF1F8">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5BF4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14</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74ECAA">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上海领速物流有限公司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3D6E6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65</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40C0C5">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南京跨越速运有限公司昆山分公司</w:t>
            </w:r>
          </w:p>
        </w:tc>
      </w:tr>
      <w:tr w14:paraId="146C2264">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8484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15</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6F96BD">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深圳市跨航物流有限公司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98358">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66</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46B98">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南京跨越速运有限公司禄口分公司</w:t>
            </w:r>
          </w:p>
        </w:tc>
      </w:tr>
      <w:tr w14:paraId="653326BA">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84094">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16</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C7384">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深圳市跨越速运有限公司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7F9B7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67</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54A89">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南通跨航物流有限公司</w:t>
            </w:r>
          </w:p>
        </w:tc>
      </w:tr>
      <w:tr w14:paraId="4913AC8A">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7E962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17</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0FC021">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深圳市领速物流有限公司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49F68">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68</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AA9DD7">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宁波市跨越速运有限公司方桥营业部</w:t>
            </w:r>
          </w:p>
        </w:tc>
      </w:tr>
      <w:tr w14:paraId="52A6FF2D">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022D4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18</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E65CB">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深圳市信海物流有限公司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9B38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69</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B788C4">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宁波市跨越速运有限公司嘉兴分公司</w:t>
            </w:r>
          </w:p>
        </w:tc>
      </w:tr>
      <w:tr w14:paraId="3532ED8A">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68F55F">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19</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F2443">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沈阳跨越物流有限公司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54B6F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70</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EE55B">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宁波市跨越速运有限公司金华分公司</w:t>
            </w:r>
          </w:p>
        </w:tc>
      </w:tr>
      <w:tr w14:paraId="06ED0731">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882A1">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20</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158EB">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石家庄跨越物流有限公司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8D660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71</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B119D">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泉州跨航物流有限公司</w:t>
            </w:r>
          </w:p>
        </w:tc>
      </w:tr>
      <w:tr w14:paraId="5E2A3A04">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A9373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C9D6E">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天津跨越物流有限公司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AA10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72</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0B99D">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厦门跨航物流有限公司</w:t>
            </w:r>
          </w:p>
        </w:tc>
      </w:tr>
      <w:tr w14:paraId="41E4FA1B">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585C1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22</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C634A">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天津领速物流有限公司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9080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73</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B32DE">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厦门跨航物流有限公司福州分公司</w:t>
            </w:r>
          </w:p>
        </w:tc>
      </w:tr>
      <w:tr w14:paraId="0DCC5ED3">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DCA52">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23</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66D93">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无锡领速物流有限公司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7AABA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74</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4422D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上海跨航物流有限公司</w:t>
            </w:r>
          </w:p>
        </w:tc>
      </w:tr>
      <w:tr w14:paraId="6C87C252">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21C0C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24</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E8C2DB">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武汉市跨航物流有限公司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1421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75</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71EB2">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上海跨宇物流有限公司</w:t>
            </w:r>
          </w:p>
        </w:tc>
      </w:tr>
      <w:tr w14:paraId="17B0E358">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BEF5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25</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FA80BF">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武汉市跨越速运有限公司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D66B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76</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B64EC1">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上海跨跃物流有限公司</w:t>
            </w:r>
          </w:p>
        </w:tc>
      </w:tr>
      <w:tr w14:paraId="311AA2E6">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8825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26</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21BEB">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西安市跨越物流有限公司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A2D2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77</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F1FB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深圳市跨跃电子商务有限公司</w:t>
            </w:r>
          </w:p>
        </w:tc>
      </w:tr>
      <w:tr w14:paraId="53F73BDB">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9899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27</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24E62">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长沙市跨越物流有限公司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C85D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78</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62D7B">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深圳市跨跃货运代理有限公司</w:t>
            </w:r>
          </w:p>
        </w:tc>
      </w:tr>
      <w:tr w14:paraId="2F2D84FF">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5C0C4">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28</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5464C8">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郑州市跨越速运有限公司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1CEA7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79</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7B4FC8">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深圳市跨跃物流有限公司</w:t>
            </w:r>
          </w:p>
        </w:tc>
      </w:tr>
      <w:tr w14:paraId="5E669B34">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9693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29</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8FAE2">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重庆跨海物流有限公司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EC49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80</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2A1CF7">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深圳市跨越航空运输有限公司</w:t>
            </w:r>
          </w:p>
        </w:tc>
      </w:tr>
      <w:tr w14:paraId="46200A64">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59341">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30</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DD845">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北京跨航物流有限公司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088C2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81</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CCB4B">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深圳市跨越新科技有限公司</w:t>
            </w:r>
          </w:p>
        </w:tc>
      </w:tr>
      <w:tr w14:paraId="55077BD3">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5E9C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E2AFD">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北京信海物流有限公司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8D55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82</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427815">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深圳市跨越智慧科技有限公司</w:t>
            </w:r>
          </w:p>
        </w:tc>
      </w:tr>
      <w:tr w14:paraId="1AE143A2">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9A70D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32</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3AF6D">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成都市跨海物流有限公司绵阳分公司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B2E8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83</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A93F5B">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沈阳跨越物流有限公司大连分公司</w:t>
            </w:r>
          </w:p>
        </w:tc>
      </w:tr>
      <w:tr w14:paraId="4A038D95">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13EB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33</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46A6A">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成都市跨越仓储有限公司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8AC73F">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84</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1E7C7">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石家庄跨越物流有限公司邯郸分公司</w:t>
            </w:r>
          </w:p>
        </w:tc>
      </w:tr>
      <w:tr w14:paraId="4D078367">
        <w:tblPrEx>
          <w:tblCellMar>
            <w:top w:w="0" w:type="dxa"/>
            <w:left w:w="108" w:type="dxa"/>
            <w:bottom w:w="0" w:type="dxa"/>
            <w:right w:w="108" w:type="dxa"/>
          </w:tblCellMar>
        </w:tblPrEx>
        <w:trPr>
          <w:trHeight w:val="28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B092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34</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A5BBD9">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东莞跨海物流有限公司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4315E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85</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17398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石家庄跨越物流有限公司清苑区营业部</w:t>
            </w:r>
          </w:p>
        </w:tc>
      </w:tr>
      <w:tr w14:paraId="65FF287A">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82412">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35</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46A7D">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东莞跨宇物流有限公司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C283A">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86</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BFC054">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天津跨跃物流有限公司</w:t>
            </w:r>
          </w:p>
        </w:tc>
      </w:tr>
      <w:tr w14:paraId="7DC80C0F">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1EB44">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36</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E656BC">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东莞市跨越速运有限公司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36A5F">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87</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E7A37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天津跨越科技有限公司</w:t>
            </w:r>
          </w:p>
        </w:tc>
      </w:tr>
      <w:tr w14:paraId="3555F725">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A2085">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37</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449AC6">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佛山市跨宇物流有限公司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4C5C09">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88</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6BA31">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天津信海物流有限公司</w:t>
            </w:r>
          </w:p>
        </w:tc>
      </w:tr>
      <w:tr w14:paraId="1FBE7083">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5006A">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38</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BA6AC">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佛山市跨越速运有限公司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7F113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89</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BAE5B">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温州市跨越速运有限公司</w:t>
            </w:r>
          </w:p>
        </w:tc>
      </w:tr>
      <w:tr w14:paraId="0F081112">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AA00BB">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39</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F5034">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甘肃跨越速运有限公司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D87B8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90</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43BCD9">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温州市跨越速运有限公司灵昆营业部</w:t>
            </w:r>
          </w:p>
        </w:tc>
      </w:tr>
      <w:tr w14:paraId="6C000BC5">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A6EF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40</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DF5C54">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高安市跨航运输有限公司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08016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91</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AED96">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乌鲁木齐跨越物流有限公司</w:t>
            </w:r>
          </w:p>
        </w:tc>
      </w:tr>
      <w:tr w14:paraId="26F32654">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35E1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C8AD1">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广西跨越速运有限公司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CE5DB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92</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FE1CC">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武汉市领速物流有限公司</w:t>
            </w:r>
          </w:p>
        </w:tc>
      </w:tr>
      <w:tr w14:paraId="05EDEDAC">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BAD1F">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42</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335C9">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广州跨航物流有限公司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3DA14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93</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6C8D6">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西宁跨航物流有限公司</w:t>
            </w:r>
          </w:p>
        </w:tc>
      </w:tr>
      <w:tr w14:paraId="32C76879">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258D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43</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2E944">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广州跨越速运有限公司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53E36">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94</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DC5665">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云南跨越速运有限公司</w:t>
            </w:r>
          </w:p>
        </w:tc>
      </w:tr>
      <w:tr w14:paraId="572DFB7C">
        <w:tblPrEx>
          <w:tblCellMar>
            <w:top w:w="0" w:type="dxa"/>
            <w:left w:w="108" w:type="dxa"/>
            <w:bottom w:w="0" w:type="dxa"/>
            <w:right w:w="108" w:type="dxa"/>
          </w:tblCellMar>
        </w:tblPrEx>
        <w:trPr>
          <w:trHeight w:val="641"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D59F7A">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44</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C19F3E">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广州领速物流有限公司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AF1EC">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95</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35674">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长春市领速物流有限公司</w:t>
            </w:r>
          </w:p>
        </w:tc>
      </w:tr>
      <w:tr w14:paraId="445CF6AE">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8C85B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45</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49496">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广州市跨越电子商务有限公司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6FB94">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96</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AA813">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浙江领速物流有限公司</w:t>
            </w:r>
          </w:p>
        </w:tc>
      </w:tr>
      <w:tr w14:paraId="73B822BF">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EFAEA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46</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71C7F">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广州信海物流有限公司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C732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97</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22641">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郑州跨航物流有限公司</w:t>
            </w:r>
          </w:p>
        </w:tc>
      </w:tr>
      <w:tr w14:paraId="7C7442B9">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C9B38">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47</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5826E">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贵阳跨航物流有限公司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055F7">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98</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5ADA7">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中山跨航物流有限公司</w:t>
            </w:r>
          </w:p>
        </w:tc>
      </w:tr>
      <w:tr w14:paraId="0598149F">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7EC50">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48</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537EA8">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哈尔滨领速物流有限公司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311D3">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99</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F079C">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中山领速运输有限公司</w:t>
            </w:r>
          </w:p>
        </w:tc>
      </w:tr>
      <w:tr w14:paraId="60E1AF73">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D9D5EE">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49</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B6C84">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海口市跨越物流有限公司</w:t>
            </w:r>
          </w:p>
        </w:tc>
        <w:tc>
          <w:tcPr>
            <w:tcW w:w="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D2954">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100</w:t>
            </w:r>
          </w:p>
        </w:tc>
        <w:tc>
          <w:tcPr>
            <w:tcW w:w="43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8FDE7">
            <w:pPr>
              <w:widowControl/>
              <w:jc w:val="left"/>
              <w:textAlignment w:val="center"/>
              <w:rPr>
                <w:rFonts w:ascii="华文楷体" w:hAnsi="华文楷体" w:eastAsia="华文楷体" w:cs="华文楷体"/>
                <w:snapToGrid w:val="0"/>
                <w:color w:val="000000"/>
                <w:kern w:val="0"/>
                <w:sz w:val="18"/>
                <w:szCs w:val="18"/>
                <w:lang w:val="en-US" w:eastAsia="en-US" w:bidi="ar-SA"/>
              </w:rPr>
            </w:pPr>
            <w:r>
              <w:rPr>
                <w:rFonts w:hint="eastAsia" w:ascii="华文楷体" w:hAnsi="华文楷体" w:eastAsia="华文楷体" w:cs="华文楷体"/>
                <w:color w:val="000000"/>
                <w:kern w:val="0"/>
                <w:sz w:val="18"/>
                <w:szCs w:val="18"/>
                <w:lang w:bidi="ar"/>
              </w:rPr>
              <w:t>中山市跨越速递有限公司</w:t>
            </w:r>
          </w:p>
        </w:tc>
      </w:tr>
      <w:tr w14:paraId="6C864440">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9038D">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50</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1A4B0">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bidi="ar"/>
              </w:rPr>
              <w:t>杭州跨航物流有限公司</w:t>
            </w:r>
          </w:p>
        </w:tc>
        <w:tc>
          <w:tcPr>
            <w:tcW w:w="955" w:type="dxa"/>
            <w:vMerge w:val="restart"/>
            <w:tcBorders>
              <w:top w:val="single" w:color="000000" w:sz="4" w:space="0"/>
              <w:left w:val="single" w:color="000000" w:sz="4" w:space="0"/>
              <w:right w:val="single" w:color="000000" w:sz="4" w:space="0"/>
            </w:tcBorders>
            <w:shd w:val="clear" w:color="auto" w:fill="FFFFFF"/>
            <w:vAlign w:val="center"/>
          </w:tcPr>
          <w:p w14:paraId="1C2B0CB5">
            <w:pPr>
              <w:widowControl/>
              <w:jc w:val="center"/>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val="en-US" w:eastAsia="zh-CN" w:bidi="ar"/>
              </w:rPr>
              <w:t>/</w:t>
            </w:r>
          </w:p>
        </w:tc>
        <w:tc>
          <w:tcPr>
            <w:tcW w:w="4346" w:type="dxa"/>
            <w:vMerge w:val="restart"/>
            <w:tcBorders>
              <w:top w:val="single" w:color="000000" w:sz="4" w:space="0"/>
              <w:left w:val="single" w:color="000000" w:sz="4" w:space="0"/>
              <w:right w:val="single" w:color="000000" w:sz="4" w:space="0"/>
            </w:tcBorders>
            <w:shd w:val="clear" w:color="auto" w:fill="FFFFFF"/>
            <w:vAlign w:val="center"/>
          </w:tcPr>
          <w:p w14:paraId="0FE3511C">
            <w:pPr>
              <w:widowControl/>
              <w:jc w:val="left"/>
              <w:textAlignment w:val="center"/>
              <w:rPr>
                <w:rFonts w:ascii="华文楷体" w:hAnsi="华文楷体" w:eastAsia="华文楷体" w:cs="华文楷体"/>
                <w:color w:val="000000"/>
                <w:kern w:val="0"/>
                <w:sz w:val="18"/>
                <w:szCs w:val="18"/>
              </w:rPr>
            </w:pPr>
            <w:r>
              <w:rPr>
                <w:rFonts w:hint="eastAsia" w:ascii="华文楷体" w:hAnsi="华文楷体" w:eastAsia="华文楷体" w:cs="华文楷体"/>
                <w:color w:val="000000"/>
                <w:kern w:val="0"/>
                <w:sz w:val="18"/>
                <w:szCs w:val="18"/>
                <w:lang w:val="en-US" w:eastAsia="zh-CN" w:bidi="ar"/>
              </w:rPr>
              <w:t>/</w:t>
            </w:r>
          </w:p>
        </w:tc>
      </w:tr>
      <w:tr w14:paraId="3BB70156">
        <w:tblPrEx>
          <w:tblCellMar>
            <w:top w:w="0" w:type="dxa"/>
            <w:left w:w="108" w:type="dxa"/>
            <w:bottom w:w="0" w:type="dxa"/>
            <w:right w:w="108" w:type="dxa"/>
          </w:tblCellMar>
        </w:tblPrEx>
        <w:trPr>
          <w:trHeight w:val="52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9532DB">
            <w:pPr>
              <w:widowControl/>
              <w:jc w:val="center"/>
              <w:textAlignment w:val="center"/>
              <w:rPr>
                <w:rFonts w:ascii="华文楷体" w:hAnsi="华文楷体" w:eastAsia="华文楷体" w:cs="华文楷体"/>
                <w:color w:val="000000"/>
                <w:kern w:val="0"/>
                <w:sz w:val="18"/>
                <w:szCs w:val="18"/>
                <w:lang w:bidi="ar"/>
              </w:rPr>
            </w:pPr>
            <w:r>
              <w:rPr>
                <w:rFonts w:hint="eastAsia" w:ascii="华文楷体" w:hAnsi="华文楷体" w:eastAsia="华文楷体" w:cs="华文楷体"/>
                <w:color w:val="000000"/>
                <w:kern w:val="0"/>
                <w:sz w:val="18"/>
                <w:szCs w:val="18"/>
                <w:lang w:bidi="ar"/>
              </w:rPr>
              <w:t>51</w:t>
            </w:r>
          </w:p>
        </w:tc>
        <w:tc>
          <w:tcPr>
            <w:tcW w:w="41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B168B5">
            <w:pPr>
              <w:widowControl/>
              <w:jc w:val="left"/>
              <w:textAlignment w:val="center"/>
              <w:rPr>
                <w:rFonts w:ascii="华文楷体" w:hAnsi="华文楷体" w:eastAsia="华文楷体" w:cs="华文楷体"/>
                <w:color w:val="000000"/>
                <w:kern w:val="0"/>
                <w:sz w:val="18"/>
                <w:szCs w:val="18"/>
                <w:lang w:bidi="ar"/>
              </w:rPr>
            </w:pPr>
            <w:r>
              <w:rPr>
                <w:rFonts w:hint="eastAsia" w:ascii="华文楷体" w:hAnsi="华文楷体" w:eastAsia="华文楷体" w:cs="华文楷体"/>
                <w:color w:val="000000"/>
                <w:kern w:val="0"/>
                <w:sz w:val="18"/>
                <w:szCs w:val="18"/>
                <w:lang w:bidi="ar"/>
              </w:rPr>
              <w:t>合肥市跨越速运有限公司</w:t>
            </w:r>
          </w:p>
        </w:tc>
        <w:tc>
          <w:tcPr>
            <w:tcW w:w="955" w:type="dxa"/>
            <w:vMerge w:val="continue"/>
            <w:tcBorders>
              <w:left w:val="single" w:color="000000" w:sz="4" w:space="0"/>
              <w:bottom w:val="single" w:color="000000" w:sz="4" w:space="0"/>
              <w:right w:val="single" w:color="000000" w:sz="4" w:space="0"/>
            </w:tcBorders>
            <w:shd w:val="clear" w:color="auto" w:fill="FFFFFF"/>
            <w:vAlign w:val="center"/>
          </w:tcPr>
          <w:p w14:paraId="14F42F64">
            <w:pPr>
              <w:widowControl/>
              <w:jc w:val="center"/>
              <w:textAlignment w:val="center"/>
              <w:rPr>
                <w:rFonts w:ascii="华文楷体" w:hAnsi="华文楷体" w:eastAsia="华文楷体" w:cs="华文楷体"/>
                <w:color w:val="000000"/>
                <w:kern w:val="0"/>
                <w:sz w:val="18"/>
                <w:szCs w:val="18"/>
                <w:lang w:bidi="ar"/>
              </w:rPr>
            </w:pPr>
          </w:p>
        </w:tc>
        <w:tc>
          <w:tcPr>
            <w:tcW w:w="4346" w:type="dxa"/>
            <w:vMerge w:val="continue"/>
            <w:tcBorders>
              <w:left w:val="single" w:color="000000" w:sz="4" w:space="0"/>
              <w:bottom w:val="single" w:color="000000" w:sz="4" w:space="0"/>
              <w:right w:val="single" w:color="000000" w:sz="4" w:space="0"/>
            </w:tcBorders>
            <w:shd w:val="clear" w:color="auto" w:fill="FFFFFF"/>
            <w:vAlign w:val="center"/>
          </w:tcPr>
          <w:p w14:paraId="45688C6C">
            <w:pPr>
              <w:widowControl/>
              <w:jc w:val="left"/>
              <w:textAlignment w:val="center"/>
              <w:rPr>
                <w:rFonts w:ascii="华文楷体" w:hAnsi="华文楷体" w:eastAsia="华文楷体" w:cs="华文楷体"/>
                <w:color w:val="000000"/>
                <w:kern w:val="0"/>
                <w:sz w:val="18"/>
                <w:szCs w:val="18"/>
                <w:lang w:bidi="ar"/>
              </w:rPr>
            </w:pPr>
          </w:p>
        </w:tc>
      </w:tr>
    </w:tbl>
    <w:p w14:paraId="2CF4370C">
      <w:pPr>
        <w:pStyle w:val="2"/>
        <w:numPr>
          <w:ilvl w:val="0"/>
          <w:numId w:val="0"/>
        </w:numPr>
        <w:kinsoku w:val="0"/>
        <w:autoSpaceDE w:val="0"/>
        <w:autoSpaceDN w:val="0"/>
        <w:adjustRightInd w:val="0"/>
        <w:snapToGrid w:val="0"/>
        <w:textAlignment w:val="baseline"/>
        <w:rPr>
          <w:rFonts w:hint="default"/>
          <w:b/>
          <w:bCs/>
          <w:highlight w:val="none"/>
          <w:lang w:val="en-US" w:eastAsia="zh-CN"/>
        </w:rPr>
      </w:pPr>
    </w:p>
    <w:p w14:paraId="5BFACC65">
      <w:pPr>
        <w:spacing w:line="14" w:lineRule="auto"/>
        <w:rPr>
          <w:sz w:val="2"/>
          <w:szCs w:val="2"/>
          <w:highlight w:val="none"/>
        </w:rPr>
        <w:sectPr>
          <w:footerReference r:id="rId8" w:type="default"/>
          <w:pgSz w:w="11906" w:h="16839"/>
          <w:pgMar w:top="400" w:right="680" w:bottom="1" w:left="680" w:header="0" w:footer="340" w:gutter="0"/>
          <w:cols w:space="720" w:num="1"/>
        </w:sectPr>
      </w:pPr>
    </w:p>
    <w:p w14:paraId="669A27F7">
      <w:pPr>
        <w:rPr>
          <w:spacing w:val="8"/>
          <w:highlight w:val="none"/>
          <w:lang w:eastAsia="zh-CN"/>
          <w14:textOutline w14:w="3797" w14:cap="sq" w14:cmpd="sng" w14:algn="ctr">
            <w14:solidFill>
              <w14:srgbClr w14:val="000000"/>
            </w14:solidFill>
            <w14:prstDash w14:val="solid"/>
            <w14:bevel/>
          </w14:textOutline>
        </w:rPr>
      </w:pPr>
    </w:p>
    <w:p w14:paraId="0F2BCA37"/>
    <w:p w14:paraId="5F9D11AD"/>
    <w:p w14:paraId="5659BDE3"/>
    <w:sectPr>
      <w:footerReference r:id="rId9" w:type="default"/>
      <w:type w:val="continuous"/>
      <w:pgSz w:w="11906" w:h="16839"/>
      <w:pgMar w:top="289" w:right="680" w:bottom="283" w:left="567" w:header="0" w:footer="231" w:gutter="0"/>
      <w:cols w:equalWidth="0" w:num="2">
        <w:col w:w="5117" w:space="425"/>
        <w:col w:w="511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C321F">
    <w:pPr>
      <w:pStyle w:val="2"/>
      <w:spacing w:line="270" w:lineRule="exact"/>
      <w:ind w:left="4718"/>
      <w:rPr>
        <w:sz w:val="18"/>
        <w:szCs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C744BE">
                          <w:pPr>
                            <w:pStyle w:val="6"/>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7EC744BE">
                    <w:pPr>
                      <w:pStyle w:val="6"/>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7FD1D">
    <w:pPr>
      <w:pStyle w:val="2"/>
      <w:spacing w:line="270" w:lineRule="exact"/>
      <w:ind w:left="4831"/>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A2B0D">
                          <w:pPr>
                            <w:pStyle w:val="6"/>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24AA2B0D">
                    <w:pPr>
                      <w:pStyle w:val="6"/>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1A1E1">
    <w:pPr>
      <w:pStyle w:val="2"/>
      <w:spacing w:line="270" w:lineRule="exact"/>
      <w:ind w:left="4830"/>
      <w:rPr>
        <w:sz w:val="18"/>
        <w:szCs w:val="18"/>
      </w:rPr>
    </w:pPr>
    <w:r>
      <w:rPr>
        <w:sz w:val="18"/>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30B498">
                          <w:pPr>
                            <w:pStyle w:val="6"/>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0A30B498">
                    <w:pPr>
                      <w:pStyle w:val="6"/>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607A9">
    <w:pPr>
      <w:spacing w:line="14" w:lineRule="auto"/>
      <w:rPr>
        <w:sz w:val="2"/>
      </w:rPr>
    </w:pPr>
    <w:r>
      <w:rPr>
        <w:sz w:val="2"/>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B74FFA">
                          <w:pPr>
                            <w:pStyle w:val="6"/>
                          </w:pPr>
                          <w:r>
                            <w:t xml:space="preserve">第 </w:t>
                          </w:r>
                          <w:r>
                            <w:fldChar w:fldCharType="begin"/>
                          </w:r>
                          <w:r>
                            <w:instrText xml:space="preserve"> PAGE  \* MERGEFORMAT </w:instrText>
                          </w:r>
                          <w:r>
                            <w:fldChar w:fldCharType="separate"/>
                          </w:r>
                          <w:r>
                            <w:t>15</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72B74FFA">
                    <w:pPr>
                      <w:pStyle w:val="6"/>
                    </w:pPr>
                    <w:r>
                      <w:t xml:space="preserve">第 </w:t>
                    </w:r>
                    <w:r>
                      <w:fldChar w:fldCharType="begin"/>
                    </w:r>
                    <w:r>
                      <w:instrText xml:space="preserve"> PAGE  \* MERGEFORMAT </w:instrText>
                    </w:r>
                    <w:r>
                      <w:fldChar w:fldCharType="separate"/>
                    </w:r>
                    <w:r>
                      <w:t>15</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6E452">
    <w:pPr>
      <w:pStyle w:val="2"/>
      <w:spacing w:line="270" w:lineRule="exact"/>
      <w:ind w:left="4790"/>
      <w:rPr>
        <w:sz w:val="18"/>
        <w:szCs w:val="18"/>
      </w:rPr>
    </w:pPr>
    <w:r>
      <w:rPr>
        <w:sz w:val="18"/>
        <w:lang w:eastAsia="zh-CN"/>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455621">
                          <w:pPr>
                            <w:pStyle w:val="6"/>
                          </w:pPr>
                          <w:r>
                            <w:t xml:space="preserve">第 </w:t>
                          </w:r>
                          <w:r>
                            <w:fldChar w:fldCharType="begin"/>
                          </w:r>
                          <w:r>
                            <w:instrText xml:space="preserve"> PAGE  \* MERGEFORMAT </w:instrText>
                          </w:r>
                          <w:r>
                            <w:fldChar w:fldCharType="separate"/>
                          </w:r>
                          <w:r>
                            <w:t>17</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3F455621">
                    <w:pPr>
                      <w:pStyle w:val="6"/>
                    </w:pPr>
                    <w:r>
                      <w:t xml:space="preserve">第 </w:t>
                    </w:r>
                    <w:r>
                      <w:fldChar w:fldCharType="begin"/>
                    </w:r>
                    <w:r>
                      <w:instrText xml:space="preserve"> PAGE  \* MERGEFORMAT </w:instrText>
                    </w:r>
                    <w:r>
                      <w:fldChar w:fldCharType="separate"/>
                    </w:r>
                    <w:r>
                      <w:t>17</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E54A8">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CBB0F">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7F6E30"/>
    <w:multiLevelType w:val="singleLevel"/>
    <w:tmpl w:val="807F6E30"/>
    <w:lvl w:ilvl="0" w:tentative="0">
      <w:start w:val="2"/>
      <w:numFmt w:val="chineseCounting"/>
      <w:suff w:val="nothing"/>
      <w:lvlText w:val="%1、"/>
      <w:lvlJc w:val="left"/>
      <w:rPr>
        <w:rFonts w:hint="eastAsia"/>
      </w:rPr>
    </w:lvl>
  </w:abstractNum>
  <w:abstractNum w:abstractNumId="1">
    <w:nsid w:val="994560B9"/>
    <w:multiLevelType w:val="singleLevel"/>
    <w:tmpl w:val="994560B9"/>
    <w:lvl w:ilvl="0" w:tentative="0">
      <w:start w:val="1"/>
      <w:numFmt w:val="chineseCounting"/>
      <w:suff w:val="nothing"/>
      <w:lvlText w:val="第%1条 "/>
      <w:lvlJc w:val="left"/>
      <w:pPr>
        <w:ind w:left="0" w:firstLine="420"/>
      </w:pPr>
      <w:rPr>
        <w:rFonts w:hint="eastAsia"/>
      </w:rPr>
    </w:lvl>
  </w:abstractNum>
  <w:abstractNum w:abstractNumId="2">
    <w:nsid w:val="C82137ED"/>
    <w:multiLevelType w:val="singleLevel"/>
    <w:tmpl w:val="C82137ED"/>
    <w:lvl w:ilvl="0" w:tentative="0">
      <w:start w:val="2"/>
      <w:numFmt w:val="decimal"/>
      <w:suff w:val="nothing"/>
      <w:lvlText w:val="%1、"/>
      <w:lvlJc w:val="left"/>
    </w:lvl>
  </w:abstractNum>
  <w:abstractNum w:abstractNumId="3">
    <w:nsid w:val="F82B1C79"/>
    <w:multiLevelType w:val="multilevel"/>
    <w:tmpl w:val="F82B1C79"/>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
    <w:nsid w:val="010228A8"/>
    <w:multiLevelType w:val="multilevel"/>
    <w:tmpl w:val="010228A8"/>
    <w:lvl w:ilvl="0" w:tentative="0">
      <w:start w:val="1"/>
      <w:numFmt w:val="decimal"/>
      <w:lvlText w:val="%1."/>
      <w:lvlJc w:val="left"/>
      <w:pPr>
        <w:ind w:left="425" w:hanging="425"/>
      </w:pPr>
      <w:rPr>
        <w:rFonts w:hint="default" w:ascii="华文楷体" w:hAnsi="华文楷体" w:eastAsia="华文楷体" w:cs="华文楷体"/>
        <w:b/>
        <w:bCs/>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ascii="华文楷体" w:hAnsi="华文楷体" w:eastAsia="华文楷体" w:cs="华文楷体"/>
        <w:sz w:val="20"/>
        <w:szCs w:val="20"/>
        <w:highlight w:val="none"/>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1E073449"/>
    <w:multiLevelType w:val="singleLevel"/>
    <w:tmpl w:val="1E073449"/>
    <w:lvl w:ilvl="0" w:tentative="0">
      <w:start w:val="1"/>
      <w:numFmt w:val="decimal"/>
      <w:lvlText w:val="%1."/>
      <w:lvlJc w:val="left"/>
      <w:pPr>
        <w:ind w:left="840" w:hanging="420"/>
      </w:pPr>
      <w:rPr>
        <w:rFonts w:hint="eastAsia"/>
        <w:b w:val="0"/>
      </w:rPr>
    </w:lvl>
  </w:abstractNum>
  <w:abstractNum w:abstractNumId="6">
    <w:nsid w:val="28826728"/>
    <w:multiLevelType w:val="singleLevel"/>
    <w:tmpl w:val="28826728"/>
    <w:lvl w:ilvl="0" w:tentative="0">
      <w:start w:val="1"/>
      <w:numFmt w:val="chineseCounting"/>
      <w:suff w:val="nothing"/>
      <w:lvlText w:val="（%1）"/>
      <w:lvlJc w:val="left"/>
      <w:pPr>
        <w:ind w:left="-137" w:firstLine="420"/>
      </w:pPr>
      <w:rPr>
        <w:rFonts w:hint="eastAsia"/>
      </w:rPr>
    </w:lvl>
  </w:abstractNum>
  <w:abstractNum w:abstractNumId="7">
    <w:nsid w:val="3098617D"/>
    <w:multiLevelType w:val="singleLevel"/>
    <w:tmpl w:val="3098617D"/>
    <w:lvl w:ilvl="0" w:tentative="0">
      <w:start w:val="1"/>
      <w:numFmt w:val="decimal"/>
      <w:lvlText w:val="%1."/>
      <w:lvlJc w:val="left"/>
      <w:pPr>
        <w:ind w:left="840" w:hanging="420"/>
      </w:pPr>
      <w:rPr>
        <w:rFonts w:hint="eastAsia"/>
        <w:b w:val="0"/>
      </w:rPr>
    </w:lvl>
  </w:abstractNum>
  <w:abstractNum w:abstractNumId="8">
    <w:nsid w:val="32DD071F"/>
    <w:multiLevelType w:val="singleLevel"/>
    <w:tmpl w:val="32DD071F"/>
    <w:lvl w:ilvl="0" w:tentative="0">
      <w:start w:val="1"/>
      <w:numFmt w:val="decimal"/>
      <w:lvlText w:val="%1."/>
      <w:lvlJc w:val="left"/>
      <w:pPr>
        <w:ind w:left="840" w:hanging="420"/>
      </w:pPr>
      <w:rPr>
        <w:rFonts w:hint="eastAsia"/>
        <w:b w:val="0"/>
      </w:rPr>
    </w:lvl>
  </w:abstractNum>
  <w:abstractNum w:abstractNumId="9">
    <w:nsid w:val="3C50F7A7"/>
    <w:multiLevelType w:val="singleLevel"/>
    <w:tmpl w:val="3C50F7A7"/>
    <w:lvl w:ilvl="0" w:tentative="0">
      <w:start w:val="1"/>
      <w:numFmt w:val="chineseCounting"/>
      <w:suff w:val="nothing"/>
      <w:lvlText w:val="（%1）"/>
      <w:lvlJc w:val="left"/>
      <w:pPr>
        <w:ind w:left="0" w:firstLine="420"/>
      </w:pPr>
      <w:rPr>
        <w:rFonts w:hint="eastAsia"/>
      </w:rPr>
    </w:lvl>
  </w:abstractNum>
  <w:abstractNum w:abstractNumId="10">
    <w:nsid w:val="6D871880"/>
    <w:multiLevelType w:val="singleLevel"/>
    <w:tmpl w:val="6D871880"/>
    <w:lvl w:ilvl="0" w:tentative="0">
      <w:start w:val="1"/>
      <w:numFmt w:val="decimal"/>
      <w:lvlText w:val="%1."/>
      <w:lvlJc w:val="left"/>
      <w:pPr>
        <w:ind w:left="840" w:hanging="420"/>
      </w:pPr>
      <w:rPr>
        <w:rFonts w:hint="eastAsia"/>
        <w:b w:val="0"/>
      </w:rPr>
    </w:lvl>
  </w:abstractNum>
  <w:num w:numId="1">
    <w:abstractNumId w:val="4"/>
  </w:num>
  <w:num w:numId="2">
    <w:abstractNumId w:val="3"/>
  </w:num>
  <w:num w:numId="3">
    <w:abstractNumId w:val="1"/>
  </w:num>
  <w:num w:numId="4">
    <w:abstractNumId w:val="9"/>
  </w:num>
  <w:num w:numId="5">
    <w:abstractNumId w:val="7"/>
  </w:num>
  <w:num w:numId="6">
    <w:abstractNumId w:val="8"/>
  </w:num>
  <w:num w:numId="7">
    <w:abstractNumId w:val="5"/>
  </w:num>
  <w:num w:numId="8">
    <w:abstractNumId w:val="10"/>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isplayBackgroundShape w:val="1"/>
  <w:bordersDoNotSurroundHeader w:val="0"/>
  <w:bordersDoNotSurroundFooter w:val="0"/>
  <w:trackRevisions w:val="1"/>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cyZDZmZTU0ZGZkYmQ0ZGExMGE4YmJhMjZhNTE4Y2MifQ=="/>
  </w:docVars>
  <w:rsids>
    <w:rsidRoot w:val="004E5DEC"/>
    <w:rsid w:val="00246444"/>
    <w:rsid w:val="00276E33"/>
    <w:rsid w:val="004C4111"/>
    <w:rsid w:val="004E5DEC"/>
    <w:rsid w:val="00763565"/>
    <w:rsid w:val="00A50494"/>
    <w:rsid w:val="00DF528A"/>
    <w:rsid w:val="00E834C1"/>
    <w:rsid w:val="019B2BC1"/>
    <w:rsid w:val="02A82F8F"/>
    <w:rsid w:val="051E6A06"/>
    <w:rsid w:val="05DC4E7B"/>
    <w:rsid w:val="07356174"/>
    <w:rsid w:val="078E391B"/>
    <w:rsid w:val="091544F3"/>
    <w:rsid w:val="09285FA5"/>
    <w:rsid w:val="09620C68"/>
    <w:rsid w:val="0C0346BA"/>
    <w:rsid w:val="0C124530"/>
    <w:rsid w:val="0CE13E9A"/>
    <w:rsid w:val="0F850E1C"/>
    <w:rsid w:val="10092095"/>
    <w:rsid w:val="123C309B"/>
    <w:rsid w:val="13432E62"/>
    <w:rsid w:val="13B079DA"/>
    <w:rsid w:val="144C5C06"/>
    <w:rsid w:val="15554870"/>
    <w:rsid w:val="15DA07D8"/>
    <w:rsid w:val="182E7914"/>
    <w:rsid w:val="1B415549"/>
    <w:rsid w:val="1C5176D4"/>
    <w:rsid w:val="1E5C60A9"/>
    <w:rsid w:val="256142B1"/>
    <w:rsid w:val="26C45589"/>
    <w:rsid w:val="28EE1AD6"/>
    <w:rsid w:val="2D180681"/>
    <w:rsid w:val="30AF1DA1"/>
    <w:rsid w:val="30B32BF9"/>
    <w:rsid w:val="31175299"/>
    <w:rsid w:val="3195140E"/>
    <w:rsid w:val="353C2505"/>
    <w:rsid w:val="36E10A32"/>
    <w:rsid w:val="374F3F98"/>
    <w:rsid w:val="377767F4"/>
    <w:rsid w:val="3C0667D4"/>
    <w:rsid w:val="3C69747E"/>
    <w:rsid w:val="3F722366"/>
    <w:rsid w:val="405A4F52"/>
    <w:rsid w:val="44C27A7E"/>
    <w:rsid w:val="4503581A"/>
    <w:rsid w:val="46412A45"/>
    <w:rsid w:val="47FA5BD9"/>
    <w:rsid w:val="4C727CBA"/>
    <w:rsid w:val="4CD603D4"/>
    <w:rsid w:val="4D2D0ED7"/>
    <w:rsid w:val="51BA7866"/>
    <w:rsid w:val="5230399F"/>
    <w:rsid w:val="549E4143"/>
    <w:rsid w:val="54BE29B9"/>
    <w:rsid w:val="59FB37DF"/>
    <w:rsid w:val="5A944CD0"/>
    <w:rsid w:val="5FC72918"/>
    <w:rsid w:val="60D64F7D"/>
    <w:rsid w:val="60FC6652"/>
    <w:rsid w:val="618C37C8"/>
    <w:rsid w:val="62A43FBB"/>
    <w:rsid w:val="646B6E61"/>
    <w:rsid w:val="64AB3860"/>
    <w:rsid w:val="661F2C0A"/>
    <w:rsid w:val="66F43A78"/>
    <w:rsid w:val="68672EA7"/>
    <w:rsid w:val="6A262756"/>
    <w:rsid w:val="6A440843"/>
    <w:rsid w:val="6AF77499"/>
    <w:rsid w:val="6E755BEE"/>
    <w:rsid w:val="6F6920D3"/>
    <w:rsid w:val="6F8D1212"/>
    <w:rsid w:val="714A78F9"/>
    <w:rsid w:val="72F80718"/>
    <w:rsid w:val="739E4074"/>
    <w:rsid w:val="75F23149"/>
    <w:rsid w:val="7E183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link w:val="22"/>
    <w:semiHidden/>
    <w:unhideWhenUsed/>
    <w:qFormat/>
    <w:uiPriority w:val="0"/>
    <w:pPr>
      <w:keepNext/>
      <w:keepLines/>
      <w:spacing w:before="280" w:after="290" w:line="372" w:lineRule="auto"/>
      <w:outlineLvl w:val="3"/>
    </w:pPr>
    <w:rPr>
      <w:rFonts w:eastAsia="黑体"/>
      <w:b/>
      <w:sz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3"/>
    <w:autoRedefine/>
    <w:qFormat/>
    <w:uiPriority w:val="0"/>
    <w:rPr>
      <w:rFonts w:ascii="华文楷体" w:hAnsi="华文楷体" w:eastAsia="华文楷体" w:cs="华文楷体"/>
      <w:sz w:val="20"/>
      <w:szCs w:val="20"/>
    </w:rPr>
  </w:style>
  <w:style w:type="paragraph" w:styleId="4">
    <w:name w:val="annotation text"/>
    <w:basedOn w:val="1"/>
    <w:qFormat/>
    <w:uiPriority w:val="0"/>
  </w:style>
  <w:style w:type="paragraph" w:styleId="5">
    <w:name w:val="Balloon Text"/>
    <w:basedOn w:val="1"/>
    <w:link w:val="24"/>
    <w:qFormat/>
    <w:uiPriority w:val="0"/>
    <w:rPr>
      <w:sz w:val="18"/>
      <w:szCs w:val="18"/>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黑体"/>
      <w:b/>
      <w:bCs/>
      <w:kern w:val="28"/>
      <w:sz w:val="40"/>
      <w:szCs w:val="32"/>
    </w:rPr>
  </w:style>
  <w:style w:type="paragraph" w:styleId="9">
    <w:name w:val="Normal (Web)"/>
    <w:basedOn w:val="1"/>
    <w:qFormat/>
    <w:uiPriority w:val="99"/>
    <w:pPr>
      <w:spacing w:before="100" w:beforeAutospacing="1" w:after="100" w:afterAutospacing="1"/>
    </w:pPr>
    <w:rPr>
      <w:rFonts w:ascii="宋体" w:hAnsi="宋体" w:cs="宋体"/>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Table Text"/>
    <w:basedOn w:val="1"/>
    <w:autoRedefine/>
    <w:semiHidden/>
    <w:qFormat/>
    <w:uiPriority w:val="0"/>
    <w:rPr>
      <w:rFonts w:ascii="华文楷体" w:hAnsi="华文楷体" w:eastAsia="华文楷体" w:cs="华文楷体"/>
      <w:sz w:val="20"/>
      <w:szCs w:val="20"/>
    </w:rPr>
  </w:style>
  <w:style w:type="character" w:customStyle="1" w:styleId="18">
    <w:name w:val="font11"/>
    <w:basedOn w:val="12"/>
    <w:autoRedefine/>
    <w:qFormat/>
    <w:uiPriority w:val="0"/>
    <w:rPr>
      <w:rFonts w:hint="eastAsia" w:ascii="华文楷体" w:hAnsi="华文楷体" w:eastAsia="华文楷体" w:cs="华文楷体"/>
      <w:color w:val="000000"/>
      <w:sz w:val="20"/>
      <w:szCs w:val="20"/>
      <w:u w:val="none"/>
    </w:rPr>
  </w:style>
  <w:style w:type="character" w:customStyle="1" w:styleId="19">
    <w:name w:val="font21"/>
    <w:basedOn w:val="12"/>
    <w:autoRedefine/>
    <w:qFormat/>
    <w:uiPriority w:val="0"/>
    <w:rPr>
      <w:rFonts w:hint="eastAsia" w:ascii="华文楷体" w:hAnsi="华文楷体" w:eastAsia="华文楷体" w:cs="华文楷体"/>
      <w:b/>
      <w:bCs/>
      <w:color w:val="000000"/>
      <w:sz w:val="20"/>
      <w:szCs w:val="20"/>
      <w:u w:val="none"/>
    </w:rPr>
  </w:style>
  <w:style w:type="paragraph" w:styleId="20">
    <w:name w:val="List Paragraph"/>
    <w:basedOn w:val="1"/>
    <w:autoRedefine/>
    <w:qFormat/>
    <w:uiPriority w:val="34"/>
    <w:pPr>
      <w:ind w:firstLine="420" w:firstLineChars="200"/>
    </w:pPr>
  </w:style>
  <w:style w:type="paragraph" w:customStyle="1" w:styleId="21">
    <w:name w:val="列出段落1"/>
    <w:basedOn w:val="1"/>
    <w:autoRedefine/>
    <w:qFormat/>
    <w:uiPriority w:val="34"/>
    <w:pPr>
      <w:ind w:firstLine="420" w:firstLineChars="200"/>
    </w:pPr>
  </w:style>
  <w:style w:type="character" w:customStyle="1" w:styleId="22">
    <w:name w:val="标题 4 字符"/>
    <w:link w:val="3"/>
    <w:autoRedefine/>
    <w:qFormat/>
    <w:uiPriority w:val="0"/>
    <w:rPr>
      <w:rFonts w:ascii="Arial" w:hAnsi="Arial" w:eastAsia="黑体"/>
      <w:b/>
      <w:sz w:val="28"/>
    </w:rPr>
  </w:style>
  <w:style w:type="character" w:customStyle="1" w:styleId="23">
    <w:name w:val="正文文本 字符"/>
    <w:link w:val="2"/>
    <w:autoRedefine/>
    <w:qFormat/>
    <w:uiPriority w:val="0"/>
    <w:rPr>
      <w:rFonts w:ascii="华文楷体" w:hAnsi="华文楷体" w:eastAsia="华文楷体" w:cs="华文楷体"/>
      <w:sz w:val="20"/>
      <w:szCs w:val="20"/>
      <w:lang w:val="en-US" w:eastAsia="en-US" w:bidi="ar-SA"/>
    </w:rPr>
  </w:style>
  <w:style w:type="character" w:customStyle="1" w:styleId="24">
    <w:name w:val="批注框文本 字符"/>
    <w:basedOn w:val="12"/>
    <w:link w:val="5"/>
    <w:autoRedefine/>
    <w:qFormat/>
    <w:uiPriority w:val="0"/>
    <w:rPr>
      <w:rFonts w:ascii="Arial" w:hAnsi="Arial" w:eastAsia="Arial" w:cs="Arial"/>
      <w:snapToGrid w:val="0"/>
      <w:color w:val="000000"/>
      <w:sz w:val="18"/>
      <w:szCs w:val="18"/>
      <w:lang w:eastAsia="en-US"/>
    </w:rPr>
  </w:style>
  <w:style w:type="paragraph" w:customStyle="1" w:styleId="25">
    <w:name w:val="缺省文本"/>
    <w:basedOn w:val="1"/>
    <w:autoRedefine/>
    <w:qFormat/>
    <w:uiPriority w:val="0"/>
    <w:pPr>
      <w:autoSpaceDE w:val="0"/>
      <w:autoSpaceDN w:val="0"/>
      <w:adjustRightInd w:val="0"/>
      <w:jc w:val="left"/>
    </w:pPr>
    <w:rPr>
      <w:kern w:val="0"/>
      <w:sz w:val="24"/>
      <w:szCs w:val="20"/>
    </w:rPr>
  </w:style>
  <w:style w:type="paragraph" w:customStyle="1" w:styleId="26">
    <w:name w:val="Table Paragraph"/>
    <w:basedOn w:val="1"/>
    <w:unhideWhenUsed/>
    <w:qFormat/>
    <w:uiPriority w:val="1"/>
    <w:rPr>
      <w:rFonts w:eastAsia="Times New Roman"/>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14833</Words>
  <Characters>15163</Characters>
  <Lines>139</Lines>
  <Paragraphs>39</Paragraphs>
  <TotalTime>165</TotalTime>
  <ScaleCrop>false</ScaleCrop>
  <LinksUpToDate>false</LinksUpToDate>
  <CharactersWithSpaces>15965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2023-12-21T13:41:00Z</dcterms:created>
  <dc:creator>祝翠蓝</dc:creator>
  <cp:lastModifiedBy>跨越-周孝苗18902487672</cp:lastModifiedBy>
  <dcterms:modified xsi:type="dcterms:W3CDTF">2025-11-28T11:45:53Z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2024-09-23T17:44:12Z</vt:filetime>
  </property>
  <property fmtid="{D5CDD505-2E9C-101B-9397-08002B2CF9AE}" pid="4" name="KSOProductBuildVer">
    <vt:lpwstr>2052-12.1.0.23542</vt:lpwstr>
  </property>
  <property fmtid="{D5CDD505-2E9C-101B-9397-08002B2CF9AE}" pid="5" name="ICV">
    <vt:lpwstr>C9437BB730C741178E4E8C28D4CE7A10_13</vt:lpwstr>
  </property>
  <property fmtid="{D5CDD505-2E9C-101B-9397-08002B2CF9AE}" pid="6" name="KSOTemplateDocerSaveRecord">
    <vt:lpwstr>eyJoZGlkIjoiOGU2NzY4YmRhNTk1NGFkMjU2NDkwNjI1OTNjNTFhYWEiLCJ1c2VySWQiOiIxMjU1OTI4Mjk5In0=</vt:lpwstr>
  </property>
</Properties>
</file>