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eastAsia"/>
        </w:rPr>
      </w:pPr>
      <w:bookmarkStart w:id="0" w:name="_GoBack"/>
      <w:r>
        <w:rPr>
          <w:rFonts w:hint="default"/>
        </w:rPr>
        <w:t>中盐镇江盐化有限公司2026年度海陆联运业务盐运输服务项目（中盐东北公司）-招标公告</w:t>
      </w:r>
    </w:p>
    <w:bookmarkEnd w:id="0"/>
    <w:p>
      <w:pPr>
        <w:pStyle w:val="2"/>
        <w:bidi w:val="0"/>
        <w:rPr>
          <w:rFonts w:hint="default"/>
        </w:rPr>
      </w:pPr>
      <w:r>
        <w:rPr>
          <w:rFonts w:hint="default"/>
        </w:rPr>
        <w:t>招标编号：0702-2540CITC7326</w:t>
      </w:r>
    </w:p>
    <w:p>
      <w:pPr>
        <w:pStyle w:val="2"/>
        <w:bidi w:val="0"/>
        <w:rPr>
          <w:rFonts w:hint="default"/>
        </w:rPr>
      </w:pPr>
      <w:r>
        <w:rPr>
          <w:rFonts w:hint="default"/>
        </w:rPr>
        <w:t>项目所在地区：江苏省</w:t>
      </w:r>
    </w:p>
    <w:p>
      <w:pPr>
        <w:pStyle w:val="2"/>
        <w:bidi w:val="0"/>
      </w:pPr>
      <w:r>
        <w:rPr>
          <w:rFonts w:hint="default"/>
          <w:lang w:val="en-US" w:eastAsia="zh-CN"/>
        </w:rPr>
        <w:t>一、招标条件</w:t>
      </w:r>
    </w:p>
    <w:p>
      <w:pPr>
        <w:pStyle w:val="2"/>
        <w:bidi w:val="0"/>
        <w:rPr>
          <w:rFonts w:hint="default"/>
        </w:rPr>
      </w:pPr>
      <w:r>
        <w:rPr>
          <w:rFonts w:hint="default"/>
        </w:rPr>
        <w:t>本招标项目  中盐镇江盐化有限公司2026年度海陆联运业务盐运输服务项目（中盐东北公司），招标人为中国盐业集团有限公司物资分公司，招标项目资金来自企业自筹，出资比例为100%。本项目已具备招标条件，现进行公开招标。</w:t>
      </w:r>
    </w:p>
    <w:p>
      <w:pPr>
        <w:pStyle w:val="2"/>
        <w:bidi w:val="0"/>
      </w:pPr>
      <w:r>
        <w:rPr>
          <w:rFonts w:hint="default"/>
          <w:lang w:val="en-US" w:eastAsia="zh-CN"/>
        </w:rPr>
        <w:t>二、项目概况和招标范围</w:t>
      </w:r>
    </w:p>
    <w:p>
      <w:pPr>
        <w:pStyle w:val="2"/>
        <w:bidi w:val="0"/>
        <w:rPr>
          <w:rFonts w:hint="default"/>
        </w:rPr>
      </w:pPr>
      <w:r>
        <w:rPr>
          <w:rFonts w:hint="default"/>
        </w:rPr>
        <w:t>2.1项目概况： 中国盐业集团有限公司物资分公司为中盐旗下各生产、批发单位统一组织开展运输服务集中采购。本项目合同签约甲方为中盐镇江盐化有限公司。</w:t>
      </w:r>
    </w:p>
    <w:p>
      <w:pPr>
        <w:pStyle w:val="2"/>
        <w:bidi w:val="0"/>
        <w:rPr>
          <w:rFonts w:hint="default"/>
        </w:rPr>
      </w:pPr>
      <w:r>
        <w:rPr>
          <w:rFonts w:hint="default"/>
        </w:rPr>
        <w:t>（1）货物名称：工业盐。</w:t>
      </w:r>
    </w:p>
    <w:p>
      <w:pPr>
        <w:pStyle w:val="2"/>
        <w:bidi w:val="0"/>
        <w:rPr>
          <w:rFonts w:hint="default"/>
        </w:rPr>
      </w:pPr>
      <w:r>
        <w:rPr>
          <w:rFonts w:hint="default"/>
        </w:rPr>
        <w:t>（2）规格：20GP柜。</w:t>
      </w:r>
    </w:p>
    <w:p>
      <w:pPr>
        <w:pStyle w:val="2"/>
        <w:bidi w:val="0"/>
        <w:rPr>
          <w:rFonts w:hint="default"/>
        </w:rPr>
      </w:pPr>
      <w:r>
        <w:rPr>
          <w:rFonts w:hint="default"/>
        </w:rPr>
        <w:t>（3）数量：约260个20GP柜（以实际发货数量为准）</w:t>
      </w:r>
    </w:p>
    <w:p>
      <w:pPr>
        <w:pStyle w:val="2"/>
        <w:bidi w:val="0"/>
        <w:rPr>
          <w:rFonts w:hint="default"/>
        </w:rPr>
      </w:pPr>
      <w:r>
        <w:rPr>
          <w:rFonts w:hint="default"/>
        </w:rPr>
        <w:t>（4）起运地点：中盐镇江盐化有限公司。</w:t>
      </w:r>
    </w:p>
    <w:p>
      <w:pPr>
        <w:pStyle w:val="2"/>
        <w:bidi w:val="0"/>
        <w:rPr>
          <w:rFonts w:hint="default"/>
        </w:rPr>
      </w:pPr>
      <w:r>
        <w:rPr>
          <w:rFonts w:hint="default"/>
        </w:rPr>
        <w:t>2.2招标范围：本次招标分为1个包7个分项，均设置最高投标限价，投标人须对全部7个分项分别进行报价，超过限价将按废标处理。运输用柜均为20GP柜，发货量存在增减情况，实际发货量以客户实际订单出货量为准。</w:t>
      </w:r>
    </w:p>
    <w:p>
      <w:pPr>
        <w:pStyle w:val="2"/>
        <w:bidi w:val="0"/>
        <w:rPr>
          <w:rFonts w:hint="default"/>
        </w:rPr>
      </w:pPr>
      <w:r>
        <w:rPr>
          <w:rFonts w:hint="default"/>
        </w:rPr>
        <w:t> 2.3承运期限：2026年1月-2026年12月。</w:t>
      </w:r>
    </w:p>
    <w:tbl>
      <w:tblPr>
        <w:tblW w:w="17717" w:type="dxa"/>
        <w:tblInd w:w="-15" w:type="dxa"/>
        <w:tblBorders>
          <w:top w:val="single" w:color="E1E1E1" w:sz="4" w:space="0"/>
          <w:left w:val="single" w:color="E1E1E1" w:sz="4"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96"/>
        <w:gridCol w:w="2146"/>
        <w:gridCol w:w="2794"/>
        <w:gridCol w:w="3321"/>
        <w:gridCol w:w="1822"/>
        <w:gridCol w:w="3624"/>
        <w:gridCol w:w="2714"/>
      </w:tblGrid>
      <w:tr>
        <w:tblPrEx>
          <w:tblBorders>
            <w:top w:val="single" w:color="E1E1E1" w:sz="4" w:space="0"/>
            <w:left w:val="single" w:color="E1E1E1"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序号</w:t>
            </w:r>
          </w:p>
        </w:tc>
        <w:tc>
          <w:tcPr>
            <w:tcW w:w="1272"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运输形式</w:t>
            </w:r>
          </w:p>
        </w:tc>
        <w:tc>
          <w:tcPr>
            <w:tcW w:w="1656"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出发地</w:t>
            </w:r>
          </w:p>
        </w:tc>
        <w:tc>
          <w:tcPr>
            <w:tcW w:w="19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到达地</w:t>
            </w:r>
          </w:p>
        </w:tc>
        <w:tc>
          <w:tcPr>
            <w:tcW w:w="1080"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产品</w:t>
            </w:r>
          </w:p>
        </w:tc>
        <w:tc>
          <w:tcPr>
            <w:tcW w:w="214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预计年货运量（20GP柜）</w:t>
            </w:r>
          </w:p>
        </w:tc>
        <w:tc>
          <w:tcPr>
            <w:tcW w:w="160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投标限价</w:t>
            </w:r>
          </w:p>
          <w:p>
            <w:pPr>
              <w:pStyle w:val="2"/>
              <w:bidi w:val="0"/>
            </w:pPr>
            <w:r>
              <w:rPr>
                <w:rFonts w:hint="default"/>
              </w:rPr>
              <w:t>（元/20GP柜）</w:t>
            </w:r>
          </w:p>
        </w:tc>
      </w:tr>
      <w:tr>
        <w:tblPrEx>
          <w:tblBorders>
            <w:top w:val="single" w:color="E1E1E1" w:sz="4" w:space="0"/>
            <w:left w:val="single" w:color="E1E1E1"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1</w:t>
            </w:r>
          </w:p>
          <w:p>
            <w:pPr>
              <w:pStyle w:val="2"/>
              <w:bidi w:val="0"/>
            </w:pPr>
            <w:r>
              <w:rPr>
                <w:rFonts w:hint="default"/>
              </w:rPr>
              <w:t> </w:t>
            </w:r>
          </w:p>
        </w:tc>
        <w:tc>
          <w:tcPr>
            <w:tcW w:w="1272" w:type="dxa"/>
            <w:vMerge w:val="restart"/>
            <w:tcBorders>
              <w:top w:val="nil"/>
              <w:left w:val="nil"/>
              <w:bottom w:val="single" w:color="E1E1E1" w:sz="4" w:space="0"/>
              <w:right w:val="single" w:color="E1E1E1" w:sz="4" w:space="0"/>
            </w:tcBorders>
            <w:shd w:val="clear" w:color="auto" w:fill="FFFFFF"/>
            <w:vAlign w:val="center"/>
          </w:tcPr>
          <w:p>
            <w:pPr>
              <w:pStyle w:val="2"/>
              <w:bidi w:val="0"/>
            </w:pPr>
            <w:r>
              <w:rPr>
                <w:rFonts w:hint="default"/>
              </w:rPr>
              <w:t>海陆联运</w:t>
            </w:r>
          </w:p>
        </w:tc>
        <w:tc>
          <w:tcPr>
            <w:tcW w:w="1656" w:type="dxa"/>
            <w:vMerge w:val="restart"/>
            <w:tcBorders>
              <w:top w:val="nil"/>
              <w:left w:val="nil"/>
              <w:bottom w:val="single" w:color="E1E1E1" w:sz="4" w:space="0"/>
              <w:right w:val="single" w:color="E1E1E1" w:sz="4" w:space="0"/>
            </w:tcBorders>
            <w:shd w:val="clear" w:color="auto" w:fill="FFFFFF"/>
            <w:vAlign w:val="center"/>
          </w:tcPr>
          <w:p>
            <w:pPr>
              <w:pStyle w:val="2"/>
              <w:bidi w:val="0"/>
            </w:pPr>
            <w:r>
              <w:rPr>
                <w:rFonts w:hint="default"/>
              </w:rPr>
              <w:t>中盐镇江盐化有限公司</w:t>
            </w:r>
          </w:p>
        </w:tc>
        <w:tc>
          <w:tcPr>
            <w:tcW w:w="19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黑龙江省双鸭山市岭东区</w:t>
            </w:r>
          </w:p>
        </w:tc>
        <w:tc>
          <w:tcPr>
            <w:tcW w:w="1080"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50公斤和吨袋工业盐</w:t>
            </w:r>
          </w:p>
        </w:tc>
        <w:tc>
          <w:tcPr>
            <w:tcW w:w="214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110个（以实际发货数量为准）</w:t>
            </w:r>
          </w:p>
        </w:tc>
        <w:tc>
          <w:tcPr>
            <w:tcW w:w="160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6400</w:t>
            </w:r>
          </w:p>
        </w:tc>
      </w:tr>
      <w:tr>
        <w:tblPrEx>
          <w:tblBorders>
            <w:top w:val="single" w:color="E1E1E1" w:sz="4" w:space="0"/>
            <w:left w:val="single" w:color="E1E1E1"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2</w:t>
            </w:r>
          </w:p>
        </w:tc>
        <w:tc>
          <w:tcPr>
            <w:tcW w:w="1272" w:type="dxa"/>
            <w:vMerge w:val="continue"/>
            <w:tcBorders>
              <w:top w:val="nil"/>
              <w:left w:val="nil"/>
              <w:bottom w:val="single" w:color="E1E1E1" w:sz="4" w:space="0"/>
              <w:right w:val="single" w:color="E1E1E1" w:sz="4" w:space="0"/>
            </w:tcBorders>
            <w:shd w:val="clear" w:color="auto" w:fill="FFFFFF"/>
            <w:vAlign w:val="center"/>
          </w:tcPr>
          <w:p>
            <w:pPr>
              <w:pStyle w:val="2"/>
              <w:bidi w:val="0"/>
              <w:rPr>
                <w:rFonts w:hint="default"/>
              </w:rPr>
            </w:pPr>
          </w:p>
        </w:tc>
        <w:tc>
          <w:tcPr>
            <w:tcW w:w="1656" w:type="dxa"/>
            <w:vMerge w:val="continue"/>
            <w:tcBorders>
              <w:top w:val="nil"/>
              <w:left w:val="nil"/>
              <w:bottom w:val="single" w:color="E1E1E1" w:sz="4" w:space="0"/>
              <w:right w:val="single" w:color="E1E1E1" w:sz="4" w:space="0"/>
            </w:tcBorders>
            <w:shd w:val="clear" w:color="auto" w:fill="FFFFFF"/>
            <w:vAlign w:val="center"/>
          </w:tcPr>
          <w:p>
            <w:pPr>
              <w:pStyle w:val="2"/>
              <w:bidi w:val="0"/>
              <w:rPr>
                <w:rFonts w:hint="default"/>
              </w:rPr>
            </w:pPr>
          </w:p>
        </w:tc>
        <w:tc>
          <w:tcPr>
            <w:tcW w:w="19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黑龙江省哈尔滨市阿城区</w:t>
            </w:r>
          </w:p>
        </w:tc>
        <w:tc>
          <w:tcPr>
            <w:tcW w:w="1080"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50公斤工业盐</w:t>
            </w:r>
          </w:p>
        </w:tc>
        <w:tc>
          <w:tcPr>
            <w:tcW w:w="214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50个（以实际发货数量为准）</w:t>
            </w:r>
          </w:p>
        </w:tc>
        <w:tc>
          <w:tcPr>
            <w:tcW w:w="160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5400</w:t>
            </w:r>
          </w:p>
        </w:tc>
      </w:tr>
      <w:tr>
        <w:tblPrEx>
          <w:tblBorders>
            <w:top w:val="single" w:color="E1E1E1" w:sz="4" w:space="0"/>
            <w:left w:val="single" w:color="E1E1E1"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3</w:t>
            </w:r>
          </w:p>
        </w:tc>
        <w:tc>
          <w:tcPr>
            <w:tcW w:w="1272" w:type="dxa"/>
            <w:vMerge w:val="continue"/>
            <w:tcBorders>
              <w:top w:val="nil"/>
              <w:left w:val="nil"/>
              <w:bottom w:val="single" w:color="E1E1E1" w:sz="4" w:space="0"/>
              <w:right w:val="single" w:color="E1E1E1" w:sz="4" w:space="0"/>
            </w:tcBorders>
            <w:shd w:val="clear" w:color="auto" w:fill="FFFFFF"/>
            <w:vAlign w:val="center"/>
          </w:tcPr>
          <w:p>
            <w:pPr>
              <w:pStyle w:val="2"/>
              <w:bidi w:val="0"/>
              <w:rPr>
                <w:rFonts w:hint="default"/>
              </w:rPr>
            </w:pPr>
          </w:p>
        </w:tc>
        <w:tc>
          <w:tcPr>
            <w:tcW w:w="1656" w:type="dxa"/>
            <w:vMerge w:val="continue"/>
            <w:tcBorders>
              <w:top w:val="nil"/>
              <w:left w:val="nil"/>
              <w:bottom w:val="single" w:color="E1E1E1" w:sz="4" w:space="0"/>
              <w:right w:val="single" w:color="E1E1E1" w:sz="4" w:space="0"/>
            </w:tcBorders>
            <w:shd w:val="clear" w:color="auto" w:fill="FFFFFF"/>
            <w:vAlign w:val="center"/>
          </w:tcPr>
          <w:p>
            <w:pPr>
              <w:pStyle w:val="2"/>
              <w:bidi w:val="0"/>
              <w:rPr>
                <w:rFonts w:hint="default"/>
              </w:rPr>
            </w:pPr>
          </w:p>
        </w:tc>
        <w:tc>
          <w:tcPr>
            <w:tcW w:w="19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黑龙江省齐齐哈尔市富拉尔基区</w:t>
            </w:r>
          </w:p>
        </w:tc>
        <w:tc>
          <w:tcPr>
            <w:tcW w:w="1080"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50公斤工业盐</w:t>
            </w:r>
          </w:p>
        </w:tc>
        <w:tc>
          <w:tcPr>
            <w:tcW w:w="214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20个（以实际发货数量为准）</w:t>
            </w:r>
          </w:p>
        </w:tc>
        <w:tc>
          <w:tcPr>
            <w:tcW w:w="160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5400</w:t>
            </w:r>
          </w:p>
        </w:tc>
      </w:tr>
      <w:tr>
        <w:tblPrEx>
          <w:tblBorders>
            <w:top w:val="single" w:color="E1E1E1" w:sz="4" w:space="0"/>
            <w:left w:val="single" w:color="E1E1E1"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4</w:t>
            </w:r>
          </w:p>
        </w:tc>
        <w:tc>
          <w:tcPr>
            <w:tcW w:w="1272" w:type="dxa"/>
            <w:vMerge w:val="continue"/>
            <w:tcBorders>
              <w:top w:val="nil"/>
              <w:left w:val="nil"/>
              <w:bottom w:val="single" w:color="E1E1E1" w:sz="4" w:space="0"/>
              <w:right w:val="single" w:color="E1E1E1" w:sz="4" w:space="0"/>
            </w:tcBorders>
            <w:shd w:val="clear" w:color="auto" w:fill="FFFFFF"/>
            <w:vAlign w:val="center"/>
          </w:tcPr>
          <w:p>
            <w:pPr>
              <w:pStyle w:val="2"/>
              <w:bidi w:val="0"/>
              <w:rPr>
                <w:rFonts w:hint="default"/>
              </w:rPr>
            </w:pPr>
          </w:p>
        </w:tc>
        <w:tc>
          <w:tcPr>
            <w:tcW w:w="1656" w:type="dxa"/>
            <w:vMerge w:val="continue"/>
            <w:tcBorders>
              <w:top w:val="nil"/>
              <w:left w:val="nil"/>
              <w:bottom w:val="single" w:color="E1E1E1" w:sz="4" w:space="0"/>
              <w:right w:val="single" w:color="E1E1E1" w:sz="4" w:space="0"/>
            </w:tcBorders>
            <w:shd w:val="clear" w:color="auto" w:fill="FFFFFF"/>
            <w:vAlign w:val="center"/>
          </w:tcPr>
          <w:p>
            <w:pPr>
              <w:pStyle w:val="2"/>
              <w:bidi w:val="0"/>
              <w:rPr>
                <w:rFonts w:hint="default"/>
              </w:rPr>
            </w:pPr>
          </w:p>
        </w:tc>
        <w:tc>
          <w:tcPr>
            <w:tcW w:w="19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黑龙江省伊春市西林区</w:t>
            </w:r>
          </w:p>
        </w:tc>
        <w:tc>
          <w:tcPr>
            <w:tcW w:w="1080"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50公斤工业盐</w:t>
            </w:r>
          </w:p>
        </w:tc>
        <w:tc>
          <w:tcPr>
            <w:tcW w:w="214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20个（以实际发货数量为准）</w:t>
            </w:r>
          </w:p>
        </w:tc>
        <w:tc>
          <w:tcPr>
            <w:tcW w:w="160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6300</w:t>
            </w:r>
          </w:p>
        </w:tc>
      </w:tr>
      <w:tr>
        <w:tblPrEx>
          <w:tblBorders>
            <w:top w:val="single" w:color="E1E1E1" w:sz="4" w:space="0"/>
            <w:left w:val="single" w:color="E1E1E1"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5</w:t>
            </w:r>
          </w:p>
        </w:tc>
        <w:tc>
          <w:tcPr>
            <w:tcW w:w="1272" w:type="dxa"/>
            <w:vMerge w:val="continue"/>
            <w:tcBorders>
              <w:top w:val="nil"/>
              <w:left w:val="nil"/>
              <w:bottom w:val="single" w:color="E1E1E1" w:sz="4" w:space="0"/>
              <w:right w:val="single" w:color="E1E1E1" w:sz="4" w:space="0"/>
            </w:tcBorders>
            <w:shd w:val="clear" w:color="auto" w:fill="FFFFFF"/>
            <w:vAlign w:val="center"/>
          </w:tcPr>
          <w:p>
            <w:pPr>
              <w:pStyle w:val="2"/>
              <w:bidi w:val="0"/>
              <w:rPr>
                <w:rFonts w:hint="default"/>
              </w:rPr>
            </w:pPr>
          </w:p>
        </w:tc>
        <w:tc>
          <w:tcPr>
            <w:tcW w:w="1656" w:type="dxa"/>
            <w:vMerge w:val="continue"/>
            <w:tcBorders>
              <w:top w:val="nil"/>
              <w:left w:val="nil"/>
              <w:bottom w:val="single" w:color="E1E1E1" w:sz="4" w:space="0"/>
              <w:right w:val="single" w:color="E1E1E1" w:sz="4" w:space="0"/>
            </w:tcBorders>
            <w:shd w:val="clear" w:color="auto" w:fill="FFFFFF"/>
            <w:vAlign w:val="center"/>
          </w:tcPr>
          <w:p>
            <w:pPr>
              <w:pStyle w:val="2"/>
              <w:bidi w:val="0"/>
              <w:rPr>
                <w:rFonts w:hint="default"/>
              </w:rPr>
            </w:pPr>
          </w:p>
        </w:tc>
        <w:tc>
          <w:tcPr>
            <w:tcW w:w="19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吉林省吉林市磐石市明城镇</w:t>
            </w:r>
          </w:p>
        </w:tc>
        <w:tc>
          <w:tcPr>
            <w:tcW w:w="1080"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50公斤工业盐</w:t>
            </w:r>
          </w:p>
        </w:tc>
        <w:tc>
          <w:tcPr>
            <w:tcW w:w="214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20个（以实际发货数量为准）</w:t>
            </w:r>
          </w:p>
        </w:tc>
        <w:tc>
          <w:tcPr>
            <w:tcW w:w="160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4400</w:t>
            </w:r>
          </w:p>
        </w:tc>
      </w:tr>
      <w:tr>
        <w:tblPrEx>
          <w:tblBorders>
            <w:top w:val="single" w:color="E1E1E1" w:sz="4" w:space="0"/>
            <w:left w:val="single" w:color="E1E1E1" w:sz="4"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7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6</w:t>
            </w:r>
          </w:p>
        </w:tc>
        <w:tc>
          <w:tcPr>
            <w:tcW w:w="1272" w:type="dxa"/>
            <w:vMerge w:val="continue"/>
            <w:tcBorders>
              <w:top w:val="nil"/>
              <w:left w:val="nil"/>
              <w:bottom w:val="single" w:color="E1E1E1" w:sz="4" w:space="0"/>
              <w:right w:val="single" w:color="E1E1E1" w:sz="4" w:space="0"/>
            </w:tcBorders>
            <w:shd w:val="clear" w:color="auto" w:fill="FFFFFF"/>
            <w:vAlign w:val="center"/>
          </w:tcPr>
          <w:p>
            <w:pPr>
              <w:pStyle w:val="2"/>
              <w:bidi w:val="0"/>
              <w:rPr>
                <w:rFonts w:hint="default"/>
              </w:rPr>
            </w:pPr>
          </w:p>
        </w:tc>
        <w:tc>
          <w:tcPr>
            <w:tcW w:w="1656" w:type="dxa"/>
            <w:vMerge w:val="continue"/>
            <w:tcBorders>
              <w:top w:val="nil"/>
              <w:left w:val="nil"/>
              <w:bottom w:val="single" w:color="E1E1E1" w:sz="4" w:space="0"/>
              <w:right w:val="single" w:color="E1E1E1" w:sz="4" w:space="0"/>
            </w:tcBorders>
            <w:shd w:val="clear" w:color="auto" w:fill="FFFFFF"/>
            <w:vAlign w:val="center"/>
          </w:tcPr>
          <w:p>
            <w:pPr>
              <w:pStyle w:val="2"/>
              <w:bidi w:val="0"/>
              <w:rPr>
                <w:rFonts w:hint="default"/>
              </w:rPr>
            </w:pPr>
          </w:p>
        </w:tc>
        <w:tc>
          <w:tcPr>
            <w:tcW w:w="19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吉林省吉林市龙潭区金珠镇</w:t>
            </w:r>
          </w:p>
        </w:tc>
        <w:tc>
          <w:tcPr>
            <w:tcW w:w="1080"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50公斤工业盐</w:t>
            </w:r>
          </w:p>
        </w:tc>
        <w:tc>
          <w:tcPr>
            <w:tcW w:w="214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20个（以实际发货数量为准）</w:t>
            </w:r>
          </w:p>
        </w:tc>
        <w:tc>
          <w:tcPr>
            <w:tcW w:w="160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5000</w:t>
            </w:r>
          </w:p>
        </w:tc>
      </w:tr>
      <w:tr>
        <w:tblPrEx>
          <w:tblBorders>
            <w:top w:val="single" w:color="E1E1E1" w:sz="4" w:space="0"/>
            <w:left w:val="single" w:color="E1E1E1" w:sz="4"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7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7</w:t>
            </w:r>
          </w:p>
        </w:tc>
        <w:tc>
          <w:tcPr>
            <w:tcW w:w="1272" w:type="dxa"/>
            <w:vMerge w:val="continue"/>
            <w:tcBorders>
              <w:top w:val="nil"/>
              <w:left w:val="nil"/>
              <w:bottom w:val="single" w:color="E1E1E1" w:sz="4" w:space="0"/>
              <w:right w:val="single" w:color="E1E1E1" w:sz="4" w:space="0"/>
            </w:tcBorders>
            <w:shd w:val="clear" w:color="auto" w:fill="FFFFFF"/>
            <w:vAlign w:val="center"/>
          </w:tcPr>
          <w:p>
            <w:pPr>
              <w:pStyle w:val="2"/>
              <w:bidi w:val="0"/>
              <w:rPr>
                <w:rFonts w:hint="default"/>
              </w:rPr>
            </w:pPr>
          </w:p>
        </w:tc>
        <w:tc>
          <w:tcPr>
            <w:tcW w:w="1656" w:type="dxa"/>
            <w:vMerge w:val="continue"/>
            <w:tcBorders>
              <w:top w:val="nil"/>
              <w:left w:val="nil"/>
              <w:bottom w:val="single" w:color="E1E1E1" w:sz="4" w:space="0"/>
              <w:right w:val="single" w:color="E1E1E1" w:sz="4" w:space="0"/>
            </w:tcBorders>
            <w:shd w:val="clear" w:color="auto" w:fill="FFFFFF"/>
            <w:vAlign w:val="center"/>
          </w:tcPr>
          <w:p>
            <w:pPr>
              <w:pStyle w:val="2"/>
              <w:bidi w:val="0"/>
              <w:rPr>
                <w:rFonts w:hint="default"/>
              </w:rPr>
            </w:pPr>
          </w:p>
        </w:tc>
        <w:tc>
          <w:tcPr>
            <w:tcW w:w="196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辽宁省抚顺市望花区</w:t>
            </w:r>
          </w:p>
        </w:tc>
        <w:tc>
          <w:tcPr>
            <w:tcW w:w="1080"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50公斤工业盐</w:t>
            </w:r>
          </w:p>
        </w:tc>
        <w:tc>
          <w:tcPr>
            <w:tcW w:w="214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20个（以实际发货数量为准）</w:t>
            </w:r>
          </w:p>
        </w:tc>
        <w:tc>
          <w:tcPr>
            <w:tcW w:w="1608" w:type="dxa"/>
            <w:tcBorders>
              <w:top w:val="nil"/>
              <w:left w:val="nil"/>
              <w:bottom w:val="single" w:color="E1E1E1" w:sz="4" w:space="0"/>
              <w:right w:val="single" w:color="E1E1E1" w:sz="4" w:space="0"/>
            </w:tcBorders>
            <w:shd w:val="clear" w:color="auto" w:fill="FFFFFF"/>
            <w:vAlign w:val="center"/>
          </w:tcPr>
          <w:p>
            <w:pPr>
              <w:pStyle w:val="2"/>
              <w:bidi w:val="0"/>
            </w:pPr>
            <w:r>
              <w:rPr>
                <w:rFonts w:hint="default"/>
              </w:rPr>
              <w:t>3500</w:t>
            </w:r>
          </w:p>
        </w:tc>
      </w:tr>
    </w:tbl>
    <w:p>
      <w:pPr>
        <w:pStyle w:val="2"/>
        <w:bidi w:val="0"/>
        <w:rPr>
          <w:rFonts w:hint="default"/>
        </w:rPr>
      </w:pPr>
      <w:r>
        <w:rPr>
          <w:rFonts w:hint="default"/>
        </w:rPr>
        <w:t>（具体内容详见招标文件第三章《服务需求》）</w:t>
      </w:r>
    </w:p>
    <w:p>
      <w:pPr>
        <w:pStyle w:val="2"/>
        <w:bidi w:val="0"/>
      </w:pPr>
      <w:r>
        <w:rPr>
          <w:rFonts w:hint="default"/>
          <w:lang w:val="en-US" w:eastAsia="zh-CN"/>
        </w:rPr>
        <w:t>三、投标人资格要求</w:t>
      </w:r>
    </w:p>
    <w:p>
      <w:pPr>
        <w:pStyle w:val="2"/>
        <w:bidi w:val="0"/>
        <w:rPr>
          <w:rFonts w:hint="default"/>
        </w:rPr>
      </w:pPr>
      <w:r>
        <w:rPr>
          <w:rFonts w:hint="default"/>
        </w:rPr>
        <w:t>3.1投标人须是具有独立法人资格，在中华人民共和国境内注册的企业，投标人须提交营业执照复印件（加盖公章）；</w:t>
      </w:r>
    </w:p>
    <w:p>
      <w:pPr>
        <w:pStyle w:val="2"/>
        <w:bidi w:val="0"/>
        <w:rPr>
          <w:rFonts w:hint="default"/>
        </w:rPr>
      </w:pPr>
      <w:r>
        <w:rPr>
          <w:rFonts w:hint="default"/>
        </w:rPr>
        <w:t>3.2投标人须具备《道路运输经营许可证》或《水路运输经营许可证》（须提供有效期内的资质证书复印件并加盖投标人公章）；</w:t>
      </w:r>
    </w:p>
    <w:p>
      <w:pPr>
        <w:pStyle w:val="2"/>
        <w:bidi w:val="0"/>
        <w:rPr>
          <w:rFonts w:hint="default"/>
        </w:rPr>
      </w:pPr>
      <w:r>
        <w:rPr>
          <w:rFonts w:hint="default"/>
        </w:rPr>
        <w:t>3.3投标人2022年1月1日至开标日（以合同执行期时间为准）须具有至少2个海陆联运业绩（提供业绩合同复印件，必须包含合同封面&lt;若有&gt;、首页、运输货种、运输方式、签字盖章页及对应的发票&lt;或发票明细列表&gt;）；</w:t>
      </w:r>
    </w:p>
    <w:p>
      <w:pPr>
        <w:pStyle w:val="2"/>
        <w:bidi w:val="0"/>
        <w:rPr>
          <w:rFonts w:hint="default"/>
        </w:rPr>
      </w:pPr>
      <w:r>
        <w:rPr>
          <w:rFonts w:hint="default"/>
        </w:rPr>
        <w:t>3.4投标人须能提供24小时运输服务（提供承诺函，格式见招标文件第五章）；</w:t>
      </w:r>
    </w:p>
    <w:p>
      <w:pPr>
        <w:pStyle w:val="2"/>
        <w:bidi w:val="0"/>
        <w:rPr>
          <w:rFonts w:hint="default"/>
        </w:rPr>
      </w:pPr>
      <w:r>
        <w:rPr>
          <w:rFonts w:hint="default"/>
        </w:rPr>
        <w:t>3.5投标人须提供与其存在关联关系的单位情况说明（格式见招标文件第五章）；</w:t>
      </w:r>
    </w:p>
    <w:p>
      <w:pPr>
        <w:pStyle w:val="2"/>
        <w:bidi w:val="0"/>
        <w:rPr>
          <w:rFonts w:hint="default"/>
        </w:rPr>
      </w:pPr>
      <w:r>
        <w:rPr>
          <w:rFonts w:hint="default"/>
        </w:rPr>
        <w:t>3.6投标人不得为“信用中国”网站（www.creditchina.gov.cn）列入严重失信主体名单或经营异常（由招标代理机构统一查询，无需提供证明材料）；</w:t>
      </w:r>
    </w:p>
    <w:p>
      <w:pPr>
        <w:pStyle w:val="2"/>
        <w:bidi w:val="0"/>
        <w:rPr>
          <w:rFonts w:hint="default"/>
        </w:rPr>
      </w:pPr>
      <w:r>
        <w:rPr>
          <w:rFonts w:hint="default"/>
        </w:rPr>
        <w:t>3.7投标人不得为《中国盐业集团有限公司供应商黑名单（2025 年 11 月版）》中列入的企业（由招标代理机构统一查询，无需提供证明材料）；</w:t>
      </w:r>
    </w:p>
    <w:p>
      <w:pPr>
        <w:pStyle w:val="2"/>
        <w:bidi w:val="0"/>
        <w:rPr>
          <w:rFonts w:hint="default"/>
        </w:rPr>
      </w:pPr>
      <w:r>
        <w:rPr>
          <w:rFonts w:hint="default"/>
        </w:rPr>
        <w:t>3.8本项目不接受联合体投标。</w:t>
      </w:r>
    </w:p>
    <w:p>
      <w:pPr>
        <w:pStyle w:val="2"/>
        <w:bidi w:val="0"/>
      </w:pPr>
      <w:r>
        <w:rPr>
          <w:rFonts w:hint="default"/>
          <w:lang w:val="en-US" w:eastAsia="zh-CN"/>
        </w:rPr>
        <w:t>四、招标文件的获取</w:t>
      </w:r>
    </w:p>
    <w:p>
      <w:pPr>
        <w:pStyle w:val="2"/>
        <w:bidi w:val="0"/>
        <w:rPr>
          <w:rFonts w:hint="default"/>
        </w:rPr>
      </w:pPr>
      <w:r>
        <w:rPr>
          <w:rFonts w:hint="default"/>
        </w:rPr>
        <w:t>4.1本项目招标文件采用网上审批下载方式发放，不向投标人提供纸质文件；发售日期为 2025年12月22日至2026年1月4日下午16:30分，售价为500元，售后不退；</w:t>
      </w:r>
    </w:p>
    <w:p>
      <w:pPr>
        <w:pStyle w:val="2"/>
        <w:bidi w:val="0"/>
        <w:rPr>
          <w:rFonts w:hint="default"/>
        </w:rPr>
      </w:pPr>
      <w:r>
        <w:rPr>
          <w:rFonts w:hint="default"/>
        </w:rPr>
        <w:t>4.2有意向的投标人应先在中盐集团电子采购系统（chinasalt.china-tender.com.cn）免费注册，注册完成后进行报名并汇款，汇款账户信息（户名：中机国际招标有限公司，开户行：中国银行北京西城支行，账号：331164909352，行号：104100004499）；投标人汇款成功并在中盐集团电子采购系统上传付款凭证后，经审核，即可下载招标文件，审核电话（010-81168433）；</w:t>
      </w:r>
    </w:p>
    <w:p>
      <w:pPr>
        <w:pStyle w:val="2"/>
        <w:bidi w:val="0"/>
        <w:rPr>
          <w:rFonts w:hint="default"/>
        </w:rPr>
      </w:pPr>
      <w:r>
        <w:rPr>
          <w:rFonts w:hint="default"/>
        </w:rPr>
        <w:t>4.3标书款发票为电子发票，购买招标文件发至投标人邮箱。</w:t>
      </w:r>
    </w:p>
    <w:p>
      <w:pPr>
        <w:pStyle w:val="2"/>
        <w:bidi w:val="0"/>
      </w:pPr>
      <w:r>
        <w:rPr>
          <w:rFonts w:hint="default"/>
          <w:lang w:val="en-US" w:eastAsia="zh-CN"/>
        </w:rPr>
        <w:t>五、投标文件的递交</w:t>
      </w:r>
    </w:p>
    <w:p>
      <w:pPr>
        <w:pStyle w:val="2"/>
        <w:bidi w:val="0"/>
        <w:rPr>
          <w:rFonts w:hint="default"/>
        </w:rPr>
      </w:pPr>
      <w:r>
        <w:rPr>
          <w:rFonts w:hint="default"/>
        </w:rPr>
        <w:t>递交截止时间：2026年1月12日上午9：30。</w:t>
      </w:r>
    </w:p>
    <w:p>
      <w:pPr>
        <w:pStyle w:val="2"/>
        <w:bidi w:val="0"/>
        <w:rPr>
          <w:rFonts w:hint="default"/>
        </w:rPr>
      </w:pPr>
      <w:r>
        <w:rPr>
          <w:rFonts w:hint="default"/>
        </w:rPr>
        <w:t>递交地点及方式：通过邮寄、快递等方式递交投标文件。投标人须在递交截止时间前将投标文件递交至招标代理公司以下指定地点。请各投标人根据各单位距离，快递公司及快递方式提前做好准备，确保按时密封递交，迟到的投标文件将被拒收。</w:t>
      </w:r>
    </w:p>
    <w:p>
      <w:pPr>
        <w:pStyle w:val="2"/>
        <w:bidi w:val="0"/>
        <w:rPr>
          <w:rFonts w:hint="default"/>
        </w:rPr>
      </w:pPr>
      <w:r>
        <w:rPr>
          <w:rFonts w:hint="default"/>
        </w:rPr>
        <w:t>收件地址：北京市丰台区西三环南路14号首科大厦A座</w:t>
      </w:r>
    </w:p>
    <w:p>
      <w:pPr>
        <w:pStyle w:val="2"/>
        <w:bidi w:val="0"/>
        <w:rPr>
          <w:rFonts w:hint="default"/>
        </w:rPr>
      </w:pPr>
      <w:r>
        <w:rPr>
          <w:rFonts w:hint="default"/>
        </w:rPr>
        <w:t>收件人：赵经理，电话：010-81168433</w:t>
      </w:r>
    </w:p>
    <w:p>
      <w:pPr>
        <w:pStyle w:val="2"/>
        <w:bidi w:val="0"/>
      </w:pPr>
      <w:r>
        <w:rPr>
          <w:rFonts w:hint="default"/>
          <w:lang w:val="en-US" w:eastAsia="zh-CN"/>
        </w:rPr>
        <w:t>六、开标时间及地点</w:t>
      </w:r>
    </w:p>
    <w:p>
      <w:pPr>
        <w:pStyle w:val="2"/>
        <w:bidi w:val="0"/>
        <w:rPr>
          <w:rFonts w:hint="default"/>
        </w:rPr>
      </w:pPr>
      <w:r>
        <w:rPr>
          <w:rFonts w:hint="default"/>
        </w:rPr>
        <w:t>开标时间：2026年1月12日上午9：30。</w:t>
      </w:r>
    </w:p>
    <w:p>
      <w:pPr>
        <w:pStyle w:val="2"/>
        <w:bidi w:val="0"/>
        <w:rPr>
          <w:rFonts w:hint="default"/>
        </w:rPr>
      </w:pPr>
      <w:r>
        <w:rPr>
          <w:rFonts w:hint="default"/>
        </w:rPr>
        <w:t>开标方式：采用“视频会议”方式进行开标，具体要求详见投标人须知前附表第18条。</w:t>
      </w:r>
    </w:p>
    <w:p>
      <w:pPr>
        <w:pStyle w:val="2"/>
        <w:bidi w:val="0"/>
        <w:rPr>
          <w:rFonts w:hint="default"/>
        </w:rPr>
      </w:pPr>
      <w:r>
        <w:rPr>
          <w:rFonts w:hint="default"/>
        </w:rPr>
        <w:t>投标人可以参加开标会议也可以不参加开标会议，不参加开标会议视同认可开标结果，参加开标会议的人员应为投标文件中确定的投标人授权代表。</w:t>
      </w:r>
    </w:p>
    <w:p>
      <w:pPr>
        <w:pStyle w:val="2"/>
        <w:bidi w:val="0"/>
      </w:pPr>
      <w:r>
        <w:rPr>
          <w:rFonts w:hint="default"/>
          <w:lang w:val="en-US" w:eastAsia="zh-CN"/>
        </w:rPr>
        <w:t>七、发布公告的媒介</w:t>
      </w:r>
    </w:p>
    <w:p>
      <w:pPr>
        <w:pStyle w:val="2"/>
        <w:bidi w:val="0"/>
        <w:rPr>
          <w:rFonts w:hint="default"/>
        </w:rPr>
      </w:pPr>
      <w:r>
        <w:rPr>
          <w:rFonts w:hint="default"/>
        </w:rPr>
        <w:t>本项目招标公告同时在中盐集团电子采购系统（https://chinasalt.china-tender.com.cn/）、中国通用招标网（https://www.china-tender.com.cn）、中国招标投标公共服务平台（http://www.cebpubservice.com/）上发布。</w:t>
      </w:r>
    </w:p>
    <w:p>
      <w:pPr>
        <w:pStyle w:val="2"/>
        <w:bidi w:val="0"/>
      </w:pPr>
      <w:r>
        <w:rPr>
          <w:rFonts w:hint="default"/>
          <w:lang w:val="en-US" w:eastAsia="zh-CN"/>
        </w:rPr>
        <w:t>八、监督部门</w:t>
      </w:r>
    </w:p>
    <w:p>
      <w:pPr>
        <w:pStyle w:val="2"/>
        <w:bidi w:val="0"/>
        <w:rPr>
          <w:rFonts w:hint="default"/>
        </w:rPr>
      </w:pPr>
      <w:r>
        <w:rPr>
          <w:rFonts w:hint="default"/>
        </w:rPr>
        <w:t>本招标项目的监督部门为中国盐业集团有限公司。</w:t>
      </w:r>
    </w:p>
    <w:p>
      <w:pPr>
        <w:pStyle w:val="2"/>
        <w:bidi w:val="0"/>
      </w:pPr>
      <w:r>
        <w:rPr>
          <w:rFonts w:hint="default"/>
          <w:lang w:val="en-US" w:eastAsia="zh-CN"/>
        </w:rPr>
        <w:t>九、联系方式</w:t>
      </w:r>
    </w:p>
    <w:p>
      <w:pPr>
        <w:pStyle w:val="2"/>
        <w:bidi w:val="0"/>
        <w:rPr>
          <w:rFonts w:hint="default"/>
        </w:rPr>
      </w:pPr>
      <w:r>
        <w:rPr>
          <w:rFonts w:hint="default"/>
        </w:rPr>
        <w:t>招标人：中国盐业集团有限公司物资分公司</w:t>
      </w:r>
    </w:p>
    <w:p>
      <w:pPr>
        <w:pStyle w:val="2"/>
        <w:bidi w:val="0"/>
        <w:rPr>
          <w:rFonts w:hint="default"/>
        </w:rPr>
      </w:pPr>
      <w:r>
        <w:rPr>
          <w:rFonts w:hint="default"/>
        </w:rPr>
        <w:t>地址：北京市丰台区广外大街莲花池中盐大厦西塔10层</w:t>
      </w:r>
    </w:p>
    <w:p>
      <w:pPr>
        <w:pStyle w:val="2"/>
        <w:bidi w:val="0"/>
        <w:rPr>
          <w:rFonts w:hint="default"/>
        </w:rPr>
      </w:pPr>
      <w:r>
        <w:rPr>
          <w:rFonts w:hint="default"/>
        </w:rPr>
        <w:t>联系人：霍经理</w:t>
      </w:r>
    </w:p>
    <w:p>
      <w:pPr>
        <w:pStyle w:val="2"/>
        <w:bidi w:val="0"/>
        <w:rPr>
          <w:rFonts w:hint="default"/>
        </w:rPr>
      </w:pPr>
      <w:r>
        <w:rPr>
          <w:rFonts w:hint="default"/>
        </w:rPr>
        <w:t>电话：010-83063616</w:t>
      </w:r>
    </w:p>
    <w:p>
      <w:pPr>
        <w:pStyle w:val="2"/>
        <w:bidi w:val="0"/>
        <w:rPr>
          <w:rFonts w:hint="default"/>
        </w:rPr>
      </w:pPr>
    </w:p>
    <w:p>
      <w:pPr>
        <w:pStyle w:val="2"/>
        <w:bidi w:val="0"/>
        <w:rPr>
          <w:rFonts w:hint="default"/>
        </w:rPr>
      </w:pPr>
      <w:r>
        <w:rPr>
          <w:rFonts w:hint="default"/>
        </w:rPr>
        <w:t>招标代理机构：中机国际招标有限公司</w:t>
      </w:r>
    </w:p>
    <w:p>
      <w:pPr>
        <w:pStyle w:val="2"/>
        <w:bidi w:val="0"/>
        <w:rPr>
          <w:rFonts w:hint="default"/>
        </w:rPr>
      </w:pPr>
      <w:r>
        <w:rPr>
          <w:rFonts w:hint="default"/>
        </w:rPr>
        <w:t>地址：北京市丰台区通用时代中心C座</w:t>
      </w:r>
    </w:p>
    <w:p>
      <w:pPr>
        <w:pStyle w:val="2"/>
        <w:bidi w:val="0"/>
        <w:rPr>
          <w:rFonts w:hint="default"/>
        </w:rPr>
      </w:pPr>
      <w:r>
        <w:rPr>
          <w:rFonts w:hint="default"/>
        </w:rPr>
        <w:t>联系人： 赵经理、丁经理</w:t>
      </w:r>
    </w:p>
    <w:p>
      <w:pPr>
        <w:pStyle w:val="2"/>
        <w:bidi w:val="0"/>
        <w:rPr>
          <w:rFonts w:hint="default"/>
        </w:rPr>
      </w:pPr>
      <w:r>
        <w:rPr>
          <w:rFonts w:hint="default"/>
        </w:rPr>
        <w:t>电话：010-81168433、81168694</w:t>
      </w:r>
    </w:p>
    <w:p>
      <w:pPr>
        <w:pStyle w:val="2"/>
        <w:bidi w:val="0"/>
        <w:rPr>
          <w:rFonts w:hint="default"/>
        </w:rPr>
      </w:pPr>
      <w:r>
        <w:rPr>
          <w:rFonts w:hint="default"/>
        </w:rPr>
        <w:t>邮箱：zhaolipeng@cgci.gt.cn</w:t>
      </w:r>
    </w:p>
    <w:p>
      <w:pPr>
        <w:pStyle w:val="2"/>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mZTM4MmNhODlmMTU2MGVhYjYxZmQzMGI2MjkxZmEifQ=="/>
  </w:docVars>
  <w:rsids>
    <w:rsidRoot w:val="00000000"/>
    <w:rsid w:val="7CCA7D9A"/>
    <w:rsid w:val="7E263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2025-12-15T02:45:00Z</dcterms:created>
  <dc:creator>28039</dc:creator>
  <cp:lastModifiedBy>yj</cp:lastModifiedBy>
  <dcterms:modified xsi:type="dcterms:W3CDTF">2025-12-23T03:24:51Z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EE05A72E47644DECBEA4499EE1B88CE4_12</vt:lpwstr>
  </property>
</Properties>
</file>