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6066" w14:textId="77777777" w:rsidR="006E19F5" w:rsidRDefault="003E26B6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3C576CA9" w14:textId="77777777" w:rsidR="006E19F5" w:rsidRDefault="003E26B6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合肥货架拆除、出售项目招标</w:t>
      </w:r>
    </w:p>
    <w:p w14:paraId="20266F47" w14:textId="77777777" w:rsidR="006E19F5" w:rsidRDefault="003E26B6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7B7CF53C" w14:textId="77777777" w:rsidR="006E19F5" w:rsidRDefault="006E19F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2AC01C0" w14:textId="77777777" w:rsidR="006E19F5" w:rsidRDefault="003E26B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68C83D94" w14:textId="77777777" w:rsidR="006E19F5" w:rsidRDefault="003E26B6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：合肥货架拆除、出售项目。</w:t>
      </w:r>
    </w:p>
    <w:p w14:paraId="05956764" w14:textId="77777777" w:rsidR="006E19F5" w:rsidRDefault="003E26B6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：安徽省合肥市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纬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三路与北京路交口西侧二百米的常发玻璃有限公司内（上海光明领鲜合肥物流中心）。</w:t>
      </w:r>
    </w:p>
    <w:p w14:paraId="2E49AB97" w14:textId="77777777" w:rsidR="006E19F5" w:rsidRDefault="006E19F5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0EC91A7" w14:textId="77777777" w:rsidR="006E19F5" w:rsidRDefault="003E26B6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49F7B010" w14:textId="77777777" w:rsidR="006E19F5" w:rsidRDefault="003E26B6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项目名称：合肥货架拆除、出售项目。</w:t>
      </w:r>
    </w:p>
    <w:p w14:paraId="210C63C9" w14:textId="77777777" w:rsidR="006E19F5" w:rsidRDefault="003E26B6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项目内容：货架拆除、出售。</w:t>
      </w:r>
    </w:p>
    <w:p w14:paraId="1738F79B" w14:textId="77777777" w:rsidR="006E19F5" w:rsidRDefault="003E26B6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项目要求：货架拆除、出售。</w:t>
      </w:r>
    </w:p>
    <w:p w14:paraId="1BC9D4FC" w14:textId="77777777" w:rsidR="006E19F5" w:rsidRDefault="003E26B6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设备型号：见附件</w:t>
      </w:r>
    </w:p>
    <w:p w14:paraId="60A696E5" w14:textId="77777777" w:rsidR="006E19F5" w:rsidRDefault="003E26B6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使用地址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：安徽省合肥市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纬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三路与北京路交口西侧二百米的常发玻璃有限公司内（上海光明领鲜合肥物流中心）。</w:t>
      </w:r>
    </w:p>
    <w:p w14:paraId="417A9929" w14:textId="77777777" w:rsidR="006E19F5" w:rsidRDefault="006E19F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38272A3" w14:textId="77777777" w:rsidR="006E19F5" w:rsidRDefault="003E26B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49C5FBC8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2081B5FD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7E77B502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60F3F6BC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42F23E07" w14:textId="77777777" w:rsidR="006E19F5" w:rsidRDefault="006E19F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12F61F2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080E5CB8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05EC6616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6C63947A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5860231B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0C42618F" w14:textId="77777777" w:rsidR="006E19F5" w:rsidRDefault="003E26B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5618247A" w14:textId="77777777" w:rsidR="006E19F5" w:rsidRDefault="006E19F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4956C11" w14:textId="77777777" w:rsidR="006E19F5" w:rsidRDefault="003E26B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3D168A11" w14:textId="77777777" w:rsidR="006E19F5" w:rsidRDefault="003E26B6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0E27F94E" w14:textId="77777777" w:rsidR="006E19F5" w:rsidRDefault="006E19F5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1BB9221A" w14:textId="097BB603" w:rsidR="006E19F5" w:rsidRDefault="003E26B6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4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12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6</w:t>
      </w:r>
      <w:bookmarkStart w:id="0" w:name="_GoBack"/>
      <w:bookmarkEnd w:id="0"/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合肥货架拆除、出售项目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2F35C356" w14:textId="77777777" w:rsidR="006E19F5" w:rsidRDefault="006E19F5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2BEE037C" w14:textId="77777777" w:rsidR="006E19F5" w:rsidRDefault="003E26B6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6E19F5" w14:paraId="0034E2ED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3B4F7B86" w14:textId="77777777" w:rsidR="006E19F5" w:rsidRDefault="003E26B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lastRenderedPageBreak/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F30B8DC" w14:textId="77777777" w:rsidR="006E19F5" w:rsidRDefault="003E26B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6E19F5" w14:paraId="138B2B85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4E14BB99" w14:textId="77777777" w:rsidR="006E19F5" w:rsidRDefault="003E26B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37BF0BC9" w14:textId="77777777" w:rsidR="006E19F5" w:rsidRDefault="003E26B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6E19F5" w14:paraId="7163EBD2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D2683E5" w14:textId="77777777" w:rsidR="006E19F5" w:rsidRDefault="006E19F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1E310FAC" w14:textId="77777777" w:rsidR="006E19F5" w:rsidRDefault="006E19F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4F35DADE" w14:textId="77777777" w:rsidR="006E19F5" w:rsidRDefault="006E19F5">
      <w:pPr>
        <w:rPr>
          <w:rFonts w:ascii="宋体" w:hAnsi="宋体" w:cs="宋体"/>
          <w:snapToGrid w:val="0"/>
          <w:sz w:val="32"/>
          <w:szCs w:val="32"/>
        </w:rPr>
      </w:pPr>
    </w:p>
    <w:p w14:paraId="61A25987" w14:textId="77777777" w:rsidR="006E19F5" w:rsidRDefault="003E26B6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投标报价表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426"/>
        <w:gridCol w:w="1384"/>
        <w:gridCol w:w="1266"/>
        <w:gridCol w:w="652"/>
        <w:gridCol w:w="643"/>
        <w:gridCol w:w="1146"/>
        <w:gridCol w:w="790"/>
        <w:gridCol w:w="1059"/>
        <w:gridCol w:w="1060"/>
      </w:tblGrid>
      <w:tr w:rsidR="006E19F5" w14:paraId="53B55C7B" w14:textId="77777777">
        <w:trPr>
          <w:trHeight w:val="7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683A8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E40A0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产品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480B4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5F949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3B1A4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DBCED98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951F6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A06DC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税率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1C7BA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备注</w:t>
            </w:r>
          </w:p>
        </w:tc>
      </w:tr>
      <w:tr w:rsidR="006E19F5" w14:paraId="22A59167" w14:textId="77777777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6AC5C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C23B3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货架拆除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E82D4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驶入式货架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28832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1699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B3125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货位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A11CEC" w14:textId="77777777" w:rsidR="006E19F5" w:rsidRDefault="006E19F5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24BAB" w14:textId="77777777" w:rsidR="006E19F5" w:rsidRDefault="006E19F5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29D1B" w14:textId="77777777" w:rsidR="006E19F5" w:rsidRDefault="006E19F5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32B34" w14:textId="77777777" w:rsidR="006E19F5" w:rsidRDefault="003E26B6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报价含税</w:t>
            </w:r>
          </w:p>
        </w:tc>
      </w:tr>
      <w:tr w:rsidR="006E19F5" w14:paraId="1D441521" w14:textId="77777777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787DF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595757"/>
                <w:kern w:val="0"/>
                <w:szCs w:val="21"/>
                <w:lang w:bidi="ar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C1A24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货架回收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8314B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驶入式货架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977FF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1699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ABFA9" w14:textId="77777777" w:rsidR="006E19F5" w:rsidRDefault="003E26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货位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39FD1F" w14:textId="77777777" w:rsidR="006E19F5" w:rsidRDefault="006E19F5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CFCFD" w14:textId="77777777" w:rsidR="006E19F5" w:rsidRDefault="006E19F5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FB61F" w14:textId="77777777" w:rsidR="006E19F5" w:rsidRDefault="003E26B6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/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76646" w14:textId="77777777" w:rsidR="006E19F5" w:rsidRDefault="003E26B6">
            <w:pPr>
              <w:jc w:val="center"/>
              <w:rPr>
                <w:rFonts w:ascii="宋体" w:eastAsia="宋体" w:hAnsi="宋体" w:cs="宋体"/>
                <w:color w:val="595757"/>
                <w:szCs w:val="21"/>
              </w:rPr>
            </w:pPr>
            <w:r>
              <w:rPr>
                <w:rFonts w:ascii="宋体" w:eastAsia="宋体" w:hAnsi="宋体" w:cs="宋体" w:hint="eastAsia"/>
                <w:color w:val="595757"/>
                <w:szCs w:val="21"/>
              </w:rPr>
              <w:t>/</w:t>
            </w:r>
          </w:p>
        </w:tc>
      </w:tr>
    </w:tbl>
    <w:p w14:paraId="31ADD63C" w14:textId="77777777" w:rsidR="006E19F5" w:rsidRDefault="006E19F5">
      <w:pPr>
        <w:rPr>
          <w:rFonts w:ascii="宋体" w:hAnsi="宋体" w:cs="宋体"/>
          <w:snapToGrid w:val="0"/>
          <w:sz w:val="32"/>
          <w:szCs w:val="32"/>
        </w:rPr>
      </w:pPr>
    </w:p>
    <w:p w14:paraId="18DB3F59" w14:textId="77777777" w:rsidR="006E19F5" w:rsidRDefault="006E19F5">
      <w:pPr>
        <w:rPr>
          <w:rFonts w:ascii="宋体" w:hAnsi="宋体" w:cs="宋体"/>
          <w:snapToGrid w:val="0"/>
          <w:sz w:val="32"/>
          <w:szCs w:val="32"/>
        </w:rPr>
      </w:pPr>
    </w:p>
    <w:p w14:paraId="7E4A1629" w14:textId="77777777" w:rsidR="006E19F5" w:rsidRDefault="006E19F5">
      <w:pPr>
        <w:rPr>
          <w:rFonts w:ascii="宋体" w:hAnsi="宋体" w:cs="宋体"/>
          <w:b/>
          <w:bCs/>
          <w:snapToGrid w:val="0"/>
          <w:sz w:val="24"/>
        </w:rPr>
      </w:pPr>
    </w:p>
    <w:sectPr w:rsidR="006E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03E26B6"/>
    <w:rsid w:val="006E19F5"/>
    <w:rsid w:val="01A9613A"/>
    <w:rsid w:val="023B3281"/>
    <w:rsid w:val="033278F7"/>
    <w:rsid w:val="035C11A9"/>
    <w:rsid w:val="042056CF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E724DCD"/>
    <w:rsid w:val="0F0D4021"/>
    <w:rsid w:val="0F1C55DC"/>
    <w:rsid w:val="0FA526B3"/>
    <w:rsid w:val="0FBF2BE4"/>
    <w:rsid w:val="103A784A"/>
    <w:rsid w:val="127971AA"/>
    <w:rsid w:val="135D51A6"/>
    <w:rsid w:val="176B6E0E"/>
    <w:rsid w:val="1772521F"/>
    <w:rsid w:val="17C301D0"/>
    <w:rsid w:val="182A15AB"/>
    <w:rsid w:val="18703446"/>
    <w:rsid w:val="187270F4"/>
    <w:rsid w:val="18E4337B"/>
    <w:rsid w:val="1B0570D9"/>
    <w:rsid w:val="1B9233C6"/>
    <w:rsid w:val="1BE16289"/>
    <w:rsid w:val="1D6C06DE"/>
    <w:rsid w:val="1E23140A"/>
    <w:rsid w:val="1E5C10F4"/>
    <w:rsid w:val="1E9A5846"/>
    <w:rsid w:val="1FDF2129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8EB6812"/>
    <w:rsid w:val="295430A7"/>
    <w:rsid w:val="2A1B2BA0"/>
    <w:rsid w:val="2D465D5E"/>
    <w:rsid w:val="2D7207D6"/>
    <w:rsid w:val="2DA835A0"/>
    <w:rsid w:val="2E1B58D7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CE3682F"/>
    <w:rsid w:val="3D021EF9"/>
    <w:rsid w:val="3D9016E7"/>
    <w:rsid w:val="3DE81272"/>
    <w:rsid w:val="3FAA2DE7"/>
    <w:rsid w:val="41E812D1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391B95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60646446"/>
    <w:rsid w:val="616974EF"/>
    <w:rsid w:val="633112E1"/>
    <w:rsid w:val="64B569D0"/>
    <w:rsid w:val="67270D16"/>
    <w:rsid w:val="67CF6BAF"/>
    <w:rsid w:val="69866526"/>
    <w:rsid w:val="69C13325"/>
    <w:rsid w:val="6A5C12D2"/>
    <w:rsid w:val="6B711FDA"/>
    <w:rsid w:val="6C4C6142"/>
    <w:rsid w:val="6C6E7FE1"/>
    <w:rsid w:val="6D21176B"/>
    <w:rsid w:val="6E7D7575"/>
    <w:rsid w:val="6EF10FDE"/>
    <w:rsid w:val="700E04D7"/>
    <w:rsid w:val="713D5EA9"/>
    <w:rsid w:val="725D1A2B"/>
    <w:rsid w:val="72B77C8A"/>
    <w:rsid w:val="734D0366"/>
    <w:rsid w:val="73707CA3"/>
    <w:rsid w:val="73CB2890"/>
    <w:rsid w:val="741C570D"/>
    <w:rsid w:val="74290322"/>
    <w:rsid w:val="743D70F6"/>
    <w:rsid w:val="74A46B23"/>
    <w:rsid w:val="752F7386"/>
    <w:rsid w:val="75761D6C"/>
    <w:rsid w:val="78AE22F0"/>
    <w:rsid w:val="7A6301E9"/>
    <w:rsid w:val="7B3F6652"/>
    <w:rsid w:val="7C4777D9"/>
    <w:rsid w:val="7CF103D7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5236C"/>
  <w15:docId w15:val="{36C03AA9-5D4A-43FF-BFC2-84000D4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2024-12-02T05:24:00Z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85406F3AB49A4E63B480A108D254B733_13</vt:lpwstr>
  </property>
</Properties>
</file>