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rPr>
      </w:pPr>
      <w:r>
        <w:rPr>
          <w:rFonts w:hint="default"/>
        </w:rPr>
        <w:t>中国电信曲靖分公司2024年废旧电池仓储管理及运输搬运项目（项目编号：YNJZWJ20241217001），采购人为中国电信股份有限公司曲靖分公司，采购代理机构为北京诚公管理咨询有限公司，项目资金已落实，具备采购条件，现进行公开竞争性谈判，特邀请有意向的且具有提供标的</w:t>
      </w:r>
      <w:bookmarkStart w:id="0" w:name="_GoBack"/>
      <w:bookmarkEnd w:id="0"/>
      <w:r>
        <w:rPr>
          <w:rFonts w:hint="default"/>
        </w:rPr>
        <w:t>物能力的潜在供应商（以下简称供应商）参加竞争性谈判。</w:t>
      </w:r>
    </w:p>
    <w:p>
      <w:pPr>
        <w:pStyle w:val="5"/>
        <w:bidi w:val="0"/>
        <w:rPr>
          <w:rFonts w:hint="default"/>
        </w:rPr>
      </w:pPr>
      <w:r>
        <w:rPr>
          <w:rFonts w:hint="default"/>
        </w:rPr>
        <w:t>1.</w:t>
      </w:r>
    </w:p>
    <w:p>
      <w:pPr>
        <w:pStyle w:val="5"/>
        <w:bidi w:val="0"/>
        <w:rPr>
          <w:rFonts w:hint="default"/>
        </w:rPr>
      </w:pPr>
      <w:r>
        <w:rPr>
          <w:rFonts w:hint="default"/>
        </w:rPr>
        <w:t>项目概况与采购内容</w:t>
      </w:r>
    </w:p>
    <w:p>
      <w:pPr>
        <w:pStyle w:val="5"/>
        <w:bidi w:val="0"/>
        <w:rPr>
          <w:rFonts w:hint="default"/>
        </w:rPr>
      </w:pPr>
      <w:r>
        <w:rPr>
          <w:rFonts w:hint="default"/>
        </w:rPr>
        <w:t>1.1项目概况：依据中电信曲靖签报〔2024〕1635号《曲靖分公司关于引进危废物品仓储和运输资质企业提供废旧蓄电池仓储服务的请示》文件，规范废旧蓄电池仓储和运输，两年预估金额192000.00元（含税）。现需采购1家供应商提供服务。</w:t>
      </w:r>
    </w:p>
    <w:p>
      <w:pPr>
        <w:pStyle w:val="5"/>
        <w:bidi w:val="0"/>
        <w:rPr>
          <w:rFonts w:hint="default"/>
        </w:rPr>
      </w:pPr>
      <w:r>
        <w:rPr>
          <w:rFonts w:hint="default"/>
        </w:rPr>
        <w:t>1.2采购内容：仓储管理及运输服务：（1）、提供符合环保标准适于保管甲方物资的独立库房空间专门作为甲方物资的存放地点，并提供相应的物资保管服务、现场管理、物资的入库装卸搬运、出库的装卸搬运工作；（2）、根据甲方要求的时限及标准为甲方提供相应的配送搬运服务，在为甲方提供上述服务过程中，应自行配备具有相关资质的管理员、搬运工以及搬运设备、运输车辆，并负责人员、设备的安全。服务内容包括但不限于：负责货物从甲方指定地点到仓储地之间的装卸、保管、运输和配送等工作。</w:t>
      </w:r>
    </w:p>
    <w:tbl>
      <w:tblPr>
        <w:tblW w:w="1274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87"/>
        <w:gridCol w:w="3721"/>
        <w:gridCol w:w="2108"/>
        <w:gridCol w:w="1984"/>
        <w:gridCol w:w="3349"/>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tcBorders>
              <w:top w:val="nil"/>
              <w:left w:val="nil"/>
              <w:bottom w:val="single" w:color="E1E1E1" w:sz="4" w:space="0"/>
              <w:right w:val="single" w:color="E1E1E1" w:sz="4" w:space="0"/>
            </w:tcBorders>
            <w:shd w:val="clear" w:color="auto" w:fill="FFFFFF"/>
            <w:vAlign w:val="center"/>
          </w:tcPr>
          <w:p>
            <w:pPr>
              <w:pStyle w:val="5"/>
              <w:bidi w:val="0"/>
            </w:pPr>
            <w:r>
              <w:t>序号</w:t>
            </w:r>
          </w:p>
        </w:tc>
        <w:tc>
          <w:tcPr>
            <w:tcW w:w="1800" w:type="dxa"/>
            <w:tcBorders>
              <w:top w:val="nil"/>
              <w:left w:val="nil"/>
              <w:bottom w:val="single" w:color="E1E1E1" w:sz="4" w:space="0"/>
              <w:right w:val="single" w:color="E1E1E1" w:sz="4" w:space="0"/>
            </w:tcBorders>
            <w:shd w:val="clear" w:color="auto" w:fill="FFFFFF"/>
            <w:vAlign w:val="center"/>
          </w:tcPr>
          <w:p>
            <w:pPr>
              <w:pStyle w:val="5"/>
              <w:bidi w:val="0"/>
            </w:pPr>
            <w:r>
              <w:t>服务名称</w:t>
            </w:r>
          </w:p>
        </w:tc>
        <w:tc>
          <w:tcPr>
            <w:tcW w:w="1020" w:type="dxa"/>
            <w:tcBorders>
              <w:top w:val="nil"/>
              <w:left w:val="nil"/>
              <w:bottom w:val="single" w:color="E1E1E1" w:sz="4" w:space="0"/>
              <w:right w:val="single" w:color="E1E1E1" w:sz="4" w:space="0"/>
            </w:tcBorders>
            <w:shd w:val="clear" w:color="auto" w:fill="FFFFFF"/>
            <w:vAlign w:val="center"/>
          </w:tcPr>
          <w:p>
            <w:pPr>
              <w:pStyle w:val="5"/>
              <w:bidi w:val="0"/>
            </w:pPr>
            <w:r>
              <w:t>单位</w:t>
            </w:r>
          </w:p>
        </w:tc>
        <w:tc>
          <w:tcPr>
            <w:tcW w:w="960" w:type="dxa"/>
            <w:tcBorders>
              <w:top w:val="nil"/>
              <w:left w:val="nil"/>
              <w:bottom w:val="single" w:color="E1E1E1" w:sz="4" w:space="0"/>
              <w:right w:val="single" w:color="E1E1E1" w:sz="4" w:space="0"/>
            </w:tcBorders>
            <w:shd w:val="clear" w:color="auto" w:fill="FFFFFF"/>
            <w:vAlign w:val="center"/>
          </w:tcPr>
          <w:p>
            <w:pPr>
              <w:pStyle w:val="5"/>
              <w:bidi w:val="0"/>
            </w:pPr>
            <w:r>
              <w:t>服务期限</w:t>
            </w:r>
          </w:p>
        </w:tc>
        <w:tc>
          <w:tcPr>
            <w:tcW w:w="1620" w:type="dxa"/>
            <w:tcBorders>
              <w:top w:val="nil"/>
              <w:left w:val="nil"/>
              <w:bottom w:val="single" w:color="E1E1E1" w:sz="4" w:space="0"/>
              <w:right w:val="single" w:color="E1E1E1" w:sz="4" w:space="0"/>
            </w:tcBorders>
            <w:shd w:val="clear" w:color="auto" w:fill="FFFFFF"/>
            <w:vAlign w:val="center"/>
          </w:tcPr>
          <w:p>
            <w:pPr>
              <w:pStyle w:val="5"/>
              <w:bidi w:val="0"/>
            </w:pPr>
            <w:r>
              <w:t>备注</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68" w:type="dxa"/>
            <w:tcBorders>
              <w:top w:val="nil"/>
              <w:left w:val="nil"/>
              <w:bottom w:val="single" w:color="E1E1E1" w:sz="4" w:space="0"/>
              <w:right w:val="single" w:color="E1E1E1" w:sz="4" w:space="0"/>
            </w:tcBorders>
            <w:shd w:val="clear" w:color="auto" w:fill="FFFFFF"/>
            <w:vAlign w:val="center"/>
          </w:tcPr>
          <w:p>
            <w:pPr>
              <w:pStyle w:val="5"/>
              <w:bidi w:val="0"/>
            </w:pPr>
            <w:r>
              <w:t>1</w:t>
            </w:r>
          </w:p>
        </w:tc>
        <w:tc>
          <w:tcPr>
            <w:tcW w:w="1800" w:type="dxa"/>
            <w:tcBorders>
              <w:top w:val="nil"/>
              <w:left w:val="nil"/>
              <w:bottom w:val="single" w:color="E1E1E1" w:sz="4" w:space="0"/>
              <w:right w:val="single" w:color="E1E1E1" w:sz="4" w:space="0"/>
            </w:tcBorders>
            <w:shd w:val="clear" w:color="auto" w:fill="FFFFFF"/>
            <w:vAlign w:val="center"/>
          </w:tcPr>
          <w:p>
            <w:pPr>
              <w:pStyle w:val="5"/>
              <w:bidi w:val="0"/>
            </w:pPr>
            <w:r>
              <w:t>仓储管理及运输搬运服务</w:t>
            </w:r>
          </w:p>
        </w:tc>
        <w:tc>
          <w:tcPr>
            <w:tcW w:w="1020" w:type="dxa"/>
            <w:tcBorders>
              <w:top w:val="nil"/>
              <w:left w:val="nil"/>
              <w:bottom w:val="single" w:color="E1E1E1" w:sz="4" w:space="0"/>
              <w:right w:val="single" w:color="E1E1E1" w:sz="4" w:space="0"/>
            </w:tcBorders>
            <w:shd w:val="clear" w:color="auto" w:fill="FFFFFF"/>
            <w:vAlign w:val="center"/>
          </w:tcPr>
          <w:p>
            <w:pPr>
              <w:pStyle w:val="5"/>
              <w:bidi w:val="0"/>
            </w:pPr>
            <w:r>
              <w:t>元/平方/月</w:t>
            </w:r>
          </w:p>
        </w:tc>
        <w:tc>
          <w:tcPr>
            <w:tcW w:w="960" w:type="dxa"/>
            <w:tcBorders>
              <w:top w:val="nil"/>
              <w:left w:val="nil"/>
              <w:bottom w:val="single" w:color="E1E1E1" w:sz="4" w:space="0"/>
              <w:right w:val="single" w:color="E1E1E1" w:sz="4" w:space="0"/>
            </w:tcBorders>
            <w:shd w:val="clear" w:color="auto" w:fill="FFFFFF"/>
            <w:vAlign w:val="center"/>
          </w:tcPr>
          <w:p>
            <w:pPr>
              <w:pStyle w:val="5"/>
              <w:bidi w:val="0"/>
            </w:pPr>
            <w:r>
              <w:t>24个月</w:t>
            </w:r>
          </w:p>
        </w:tc>
        <w:tc>
          <w:tcPr>
            <w:tcW w:w="1620" w:type="dxa"/>
            <w:tcBorders>
              <w:top w:val="nil"/>
              <w:left w:val="nil"/>
              <w:bottom w:val="single" w:color="E1E1E1" w:sz="4" w:space="0"/>
              <w:right w:val="single" w:color="E1E1E1" w:sz="4" w:space="0"/>
            </w:tcBorders>
            <w:shd w:val="clear" w:color="auto" w:fill="FFFFFF"/>
            <w:vAlign w:val="center"/>
          </w:tcPr>
          <w:p>
            <w:pPr>
              <w:pStyle w:val="5"/>
              <w:bidi w:val="0"/>
            </w:pPr>
            <w:r>
              <w:t>仓储面积：200平米</w:t>
            </w:r>
          </w:p>
        </w:tc>
      </w:tr>
    </w:tbl>
    <w:p>
      <w:pPr>
        <w:pStyle w:val="5"/>
        <w:bidi w:val="0"/>
        <w:rPr>
          <w:rFonts w:hint="default"/>
        </w:rPr>
      </w:pPr>
      <w:r>
        <w:rPr>
          <w:rFonts w:hint="default"/>
        </w:rPr>
        <w:t>1.3质量要求：符合国家标准，一次性验收合格。</w:t>
      </w:r>
    </w:p>
    <w:p>
      <w:pPr>
        <w:pStyle w:val="5"/>
        <w:bidi w:val="0"/>
        <w:rPr>
          <w:rFonts w:hint="default"/>
        </w:rPr>
      </w:pPr>
      <w:r>
        <w:rPr>
          <w:rFonts w:hint="default"/>
        </w:rPr>
        <w:t>1.4服务期限：合同签订后两年。</w:t>
      </w:r>
    </w:p>
    <w:p>
      <w:pPr>
        <w:pStyle w:val="5"/>
        <w:bidi w:val="0"/>
        <w:rPr>
          <w:rFonts w:hint="default"/>
        </w:rPr>
      </w:pPr>
      <w:r>
        <w:rPr>
          <w:rFonts w:hint="default"/>
        </w:rPr>
        <w:t>1.5本项目设置最高限价，单项最高限价为40元/平米/月，总价不超96000元/年。   </w:t>
      </w:r>
    </w:p>
    <w:p>
      <w:pPr>
        <w:pStyle w:val="5"/>
        <w:bidi w:val="0"/>
        <w:rPr>
          <w:rFonts w:hint="default"/>
        </w:rPr>
      </w:pPr>
      <w:r>
        <w:rPr>
          <w:rFonts w:hint="default"/>
        </w:rPr>
        <w:t>供应商最终报价高于最高限价的，其应答将被否决。谈判过程中，谈判文件发生实质性改变的，最高限价以谈判小组最终确认的为准。</w:t>
      </w:r>
    </w:p>
    <w:p>
      <w:pPr>
        <w:pStyle w:val="5"/>
        <w:bidi w:val="0"/>
        <w:rPr>
          <w:rFonts w:hint="default"/>
        </w:rPr>
      </w:pPr>
      <w:r>
        <w:rPr>
          <w:rFonts w:hint="default"/>
        </w:rPr>
        <w:t>2.</w:t>
      </w:r>
    </w:p>
    <w:p>
      <w:pPr>
        <w:pStyle w:val="5"/>
        <w:bidi w:val="0"/>
        <w:rPr>
          <w:rFonts w:hint="default"/>
        </w:rPr>
      </w:pPr>
      <w:r>
        <w:rPr>
          <w:rFonts w:hint="default"/>
        </w:rPr>
        <w:t>供应商资格要求</w:t>
      </w:r>
    </w:p>
    <w:p>
      <w:pPr>
        <w:pStyle w:val="5"/>
        <w:bidi w:val="0"/>
        <w:rPr>
          <w:rFonts w:hint="default"/>
        </w:rPr>
      </w:pPr>
      <w:r>
        <w:rPr>
          <w:rFonts w:hint="default"/>
        </w:rPr>
        <w:t>（一）、供应商应为中华人民共和国境内法律上和财务上独立的法人或依法登记注册的其他组织。合法运作并独立于采购人和采购代理机构。供应商须提供由工商部门核发的已加载法人和其他组织统一社会信用代码的营业执照扫描件。法人下属不具备法人资格的分支机构参与应答的，应提供所属法人针对本项目或覆盖本项目的经营事项的有效授权。若供应商为其他依法登记注册的组织，须提供相关登记注册证明材料。未按要求提供证明材料的视为不满足相关要求。</w:t>
      </w:r>
    </w:p>
    <w:p>
      <w:pPr>
        <w:pStyle w:val="5"/>
        <w:bidi w:val="0"/>
        <w:rPr>
          <w:rFonts w:hint="default"/>
        </w:rPr>
      </w:pPr>
      <w:r>
        <w:rPr>
          <w:rFonts w:hint="default"/>
        </w:rPr>
        <w:t>（二）、持正常年检有效期内的营业执照及需具备环保及相关部门规定的危废物资仓储和运输资质（包含但不限于云南省危险废物经营许可证、排污许可证等），提供复印件并加盖公章。</w:t>
      </w:r>
    </w:p>
    <w:p>
      <w:pPr>
        <w:pStyle w:val="5"/>
        <w:bidi w:val="0"/>
        <w:rPr>
          <w:rFonts w:hint="default"/>
        </w:rPr>
      </w:pPr>
      <w:r>
        <w:rPr>
          <w:rFonts w:hint="default"/>
        </w:rPr>
        <w:t>（三）、本项目不接受联合体应答。</w:t>
      </w:r>
    </w:p>
    <w:p>
      <w:pPr>
        <w:pStyle w:val="5"/>
        <w:bidi w:val="0"/>
        <w:rPr>
          <w:rFonts w:hint="default"/>
        </w:rPr>
      </w:pPr>
      <w:r>
        <w:rPr>
          <w:rFonts w:hint="default"/>
        </w:rPr>
        <w:t>2.1供应商不得存在的情形</w:t>
      </w:r>
    </w:p>
    <w:p>
      <w:pPr>
        <w:pStyle w:val="5"/>
        <w:bidi w:val="0"/>
        <w:rPr>
          <w:rFonts w:hint="default"/>
        </w:rPr>
      </w:pPr>
      <w:r>
        <w:rPr>
          <w:rFonts w:hint="default"/>
        </w:rPr>
        <w:t>2.1.1供应商不得存在下列情形之一</w:t>
      </w:r>
    </w:p>
    <w:p>
      <w:pPr>
        <w:pStyle w:val="5"/>
        <w:bidi w:val="0"/>
        <w:rPr>
          <w:rFonts w:hint="default"/>
        </w:rPr>
      </w:pPr>
      <w:r>
        <w:rPr>
          <w:rFonts w:hint="default"/>
        </w:rPr>
        <w:t>（1）为采购人不具有独立法人资格的附属机构（单位）；</w:t>
      </w:r>
    </w:p>
    <w:p>
      <w:pPr>
        <w:pStyle w:val="5"/>
        <w:bidi w:val="0"/>
        <w:rPr>
          <w:rFonts w:hint="default"/>
        </w:rPr>
      </w:pPr>
      <w:r>
        <w:rPr>
          <w:rFonts w:hint="default"/>
        </w:rPr>
        <w:t>（2）被依法暂停或取消投标资格的；</w:t>
      </w:r>
    </w:p>
    <w:p>
      <w:pPr>
        <w:pStyle w:val="5"/>
        <w:bidi w:val="0"/>
        <w:rPr>
          <w:rFonts w:hint="default"/>
        </w:rPr>
      </w:pPr>
      <w:r>
        <w:rPr>
          <w:rFonts w:hint="default"/>
        </w:rPr>
        <w:t>（3）被责令停产停业、暂扣或者吊销许可证、暂扣或者吊销执照；</w:t>
      </w:r>
    </w:p>
    <w:p>
      <w:pPr>
        <w:pStyle w:val="5"/>
        <w:bidi w:val="0"/>
        <w:rPr>
          <w:rFonts w:hint="default"/>
        </w:rPr>
      </w:pPr>
      <w:r>
        <w:rPr>
          <w:rFonts w:hint="default"/>
        </w:rPr>
        <w:t>（4）进入清算程序，或被宣告破产，或其他丧失履约能力的情形；</w:t>
      </w:r>
    </w:p>
    <w:p>
      <w:pPr>
        <w:pStyle w:val="5"/>
        <w:bidi w:val="0"/>
        <w:rPr>
          <w:rFonts w:hint="default"/>
        </w:rPr>
      </w:pPr>
      <w:r>
        <w:rPr>
          <w:rFonts w:hint="default"/>
        </w:rPr>
        <w:t>（5）在最近三年内（自2021年12月23日起）被相关行业主管部门或司法机关认定骗取中标/中选、严重违约、重大工程质量或者安全问题的；</w:t>
      </w:r>
    </w:p>
    <w:p>
      <w:pPr>
        <w:pStyle w:val="5"/>
        <w:bidi w:val="0"/>
        <w:rPr>
          <w:rFonts w:hint="default"/>
        </w:rPr>
      </w:pPr>
      <w:r>
        <w:rPr>
          <w:rFonts w:hint="default"/>
        </w:rPr>
        <w:t>（6）在最近五年内（自2019年12月23日起）被判处单位行贿罪，且行贿行为与采购活动相关的（以“中国裁判文书网”的生效判决为准）；</w:t>
      </w:r>
    </w:p>
    <w:p>
      <w:pPr>
        <w:pStyle w:val="5"/>
        <w:bidi w:val="0"/>
        <w:rPr>
          <w:rFonts w:hint="default"/>
        </w:rPr>
      </w:pPr>
      <w:r>
        <w:rPr>
          <w:rFonts w:hint="default"/>
        </w:rPr>
        <w:t>（7）在最近五年内（自2019年12月23日起）被判处合同诈骗罪的（以“中国裁判文书网”的生效判决为准）；</w:t>
      </w:r>
    </w:p>
    <w:p>
      <w:pPr>
        <w:pStyle w:val="5"/>
        <w:bidi w:val="0"/>
        <w:rPr>
          <w:rFonts w:hint="default"/>
        </w:rPr>
      </w:pPr>
      <w:r>
        <w:rPr>
          <w:rFonts w:hint="default"/>
        </w:rPr>
        <w:t>（8）被最高人民法院认定为失信被执行人的(以“信用中国”网站（www.creditchina.gov.cn）或各级信用信息共享平台公布的失信被执行人名单为准)，已执行完毕或不再执行的除外；</w:t>
      </w:r>
    </w:p>
    <w:p>
      <w:pPr>
        <w:pStyle w:val="5"/>
        <w:bidi w:val="0"/>
        <w:rPr>
          <w:rFonts w:hint="default"/>
        </w:rPr>
      </w:pPr>
      <w:r>
        <w:rPr>
          <w:rFonts w:hint="default"/>
        </w:rPr>
        <w:t>（9）为本项目提供过设计、编制技术规范和其他文件的咨询服务；</w:t>
      </w:r>
    </w:p>
    <w:p>
      <w:pPr>
        <w:pStyle w:val="5"/>
        <w:bidi w:val="0"/>
        <w:rPr>
          <w:rFonts w:hint="default"/>
        </w:rPr>
      </w:pPr>
      <w:r>
        <w:rPr>
          <w:rFonts w:hint="default"/>
        </w:rPr>
        <w:t>（10）为本工程项目的相关监理人，或者与本工程项目的相关监理人存在隶属关系或者其他利害关系；</w:t>
      </w:r>
    </w:p>
    <w:p>
      <w:pPr>
        <w:pStyle w:val="5"/>
        <w:bidi w:val="0"/>
        <w:rPr>
          <w:rFonts w:hint="default"/>
        </w:rPr>
      </w:pPr>
      <w:r>
        <w:rPr>
          <w:rFonts w:hint="default"/>
        </w:rPr>
        <w:t>（11）为本项目的代建人；</w:t>
      </w:r>
    </w:p>
    <w:p>
      <w:pPr>
        <w:pStyle w:val="5"/>
        <w:bidi w:val="0"/>
        <w:rPr>
          <w:rFonts w:hint="default"/>
        </w:rPr>
      </w:pPr>
      <w:r>
        <w:rPr>
          <w:rFonts w:hint="default"/>
        </w:rPr>
        <w:t>（12）为本项目的代理机构；</w:t>
      </w:r>
    </w:p>
    <w:p>
      <w:pPr>
        <w:pStyle w:val="5"/>
        <w:bidi w:val="0"/>
        <w:rPr>
          <w:rFonts w:hint="default"/>
        </w:rPr>
      </w:pPr>
      <w:r>
        <w:rPr>
          <w:rFonts w:hint="default"/>
        </w:rPr>
        <w:t>（13）与本项目的监理人或代建人或代理机构同为一个法定代表人；</w:t>
      </w:r>
    </w:p>
    <w:p>
      <w:pPr>
        <w:pStyle w:val="5"/>
        <w:bidi w:val="0"/>
        <w:rPr>
          <w:rFonts w:hint="default"/>
        </w:rPr>
      </w:pPr>
      <w:r>
        <w:rPr>
          <w:rFonts w:hint="default"/>
        </w:rPr>
        <w:t>（14）与本项目的监理人或代建人或代理机构存在控股或参股关系；</w:t>
      </w:r>
    </w:p>
    <w:p>
      <w:pPr>
        <w:pStyle w:val="5"/>
        <w:bidi w:val="0"/>
        <w:rPr>
          <w:rFonts w:hint="default"/>
        </w:rPr>
      </w:pPr>
      <w:r>
        <w:rPr>
          <w:rFonts w:hint="default"/>
        </w:rPr>
        <w:t>（15）被工商行政管理机关在国家企业信用信息公示系统中列入严重违法失信企业名单的；</w:t>
      </w:r>
    </w:p>
    <w:p>
      <w:pPr>
        <w:pStyle w:val="5"/>
        <w:bidi w:val="0"/>
        <w:rPr>
          <w:rFonts w:hint="default"/>
        </w:rPr>
      </w:pPr>
      <w:r>
        <w:rPr>
          <w:rFonts w:hint="default"/>
        </w:rPr>
        <w:t>（16）其他按照《中国电信供应商不良行为管理规则》及处理结果，应对供应商及其产品品类在本项目中执行禁止采购处理措施的。同一标包或未划分标包的同一项目涉及多个产品评估品类的，供应商及其任一产品品类涉及相关禁止采购处理结果的，该标包或项目应适用相关的禁止采购处理措施；</w:t>
      </w:r>
    </w:p>
    <w:p>
      <w:pPr>
        <w:pStyle w:val="5"/>
        <w:bidi w:val="0"/>
        <w:rPr>
          <w:rFonts w:hint="default"/>
        </w:rPr>
      </w:pPr>
      <w:r>
        <w:rPr>
          <w:rFonts w:hint="default"/>
        </w:rPr>
        <w:t>（17）法律法规、采购文件限定的其他情形。</w:t>
      </w:r>
    </w:p>
    <w:p>
      <w:pPr>
        <w:pStyle w:val="5"/>
        <w:bidi w:val="0"/>
        <w:rPr>
          <w:rFonts w:hint="default"/>
        </w:rPr>
      </w:pPr>
      <w:r>
        <w:rPr>
          <w:rFonts w:hint="default"/>
        </w:rPr>
        <w:t>2.1.2单位负责人为同一人或者存在控股、管理关系的不同单位，不得同时参加同一分包或者未划分分包的同一项目应答。</w:t>
      </w:r>
    </w:p>
    <w:p>
      <w:pPr>
        <w:pStyle w:val="5"/>
        <w:bidi w:val="0"/>
        <w:rPr>
          <w:rFonts w:hint="default"/>
        </w:rPr>
      </w:pPr>
      <w:r>
        <w:rPr>
          <w:rFonts w:hint="default"/>
        </w:rPr>
        <w:t>2.2 供应商是代理商的，需提供所代理制造商的一级授权证明，本条所指的供应商也包括其所代理的制造商。</w:t>
      </w:r>
    </w:p>
    <w:p>
      <w:pPr>
        <w:pStyle w:val="5"/>
        <w:bidi w:val="0"/>
        <w:rPr>
          <w:rFonts w:hint="default"/>
        </w:rPr>
      </w:pPr>
      <w:r>
        <w:rPr>
          <w:rFonts w:hint="default"/>
        </w:rPr>
        <w:t>3.</w:t>
      </w:r>
    </w:p>
    <w:p>
      <w:pPr>
        <w:pStyle w:val="5"/>
        <w:bidi w:val="0"/>
        <w:rPr>
          <w:rFonts w:hint="default"/>
        </w:rPr>
      </w:pPr>
      <w:r>
        <w:rPr>
          <w:rFonts w:hint="default"/>
        </w:rPr>
        <w:t>竞争性谈判文件获取</w:t>
      </w:r>
    </w:p>
    <w:p>
      <w:pPr>
        <w:pStyle w:val="5"/>
        <w:bidi w:val="0"/>
        <w:rPr>
          <w:rFonts w:hint="default"/>
        </w:rPr>
      </w:pPr>
      <w:r>
        <w:rPr>
          <w:rFonts w:hint="default"/>
        </w:rPr>
        <w:t>3.1获取时间：〔2024年12月18日上午08时30分至2024年12月20日下午17时30分〕（北京时间，下同）。</w:t>
      </w:r>
    </w:p>
    <w:p>
      <w:pPr>
        <w:pStyle w:val="5"/>
        <w:bidi w:val="0"/>
        <w:rPr>
          <w:rFonts w:hint="default"/>
        </w:rPr>
      </w:pPr>
      <w:r>
        <w:rPr>
          <w:rFonts w:hint="default"/>
        </w:rPr>
        <w:t>3.2获取地点：邮件方式</w:t>
      </w:r>
    </w:p>
    <w:p>
      <w:pPr>
        <w:pStyle w:val="5"/>
        <w:bidi w:val="0"/>
        <w:rPr>
          <w:rFonts w:hint="default"/>
        </w:rPr>
      </w:pPr>
      <w:r>
        <w:rPr>
          <w:rFonts w:hint="default"/>
        </w:rPr>
        <w:t>获取方式：项目为网上获取商务谈判文件，供应商须将下述文件电子版发邮件至采购代理机构邮箱，进行网上获取并购买商务谈判文件，</w:t>
      </w:r>
    </w:p>
    <w:p>
      <w:pPr>
        <w:pStyle w:val="5"/>
        <w:bidi w:val="0"/>
        <w:rPr>
          <w:rFonts w:hint="default"/>
        </w:rPr>
      </w:pPr>
      <w:r>
        <w:rPr>
          <w:rFonts w:hint="default"/>
        </w:rPr>
        <w:t>邮件须以XX公司XX项目材料为主题，发送材料的邮箱须与供应商《谈判文件发售登记表》中的联系人邮箱保持一致，若因不一致导致文件不能及时查收，由此造成的损失由供应商自行承担，审核通过后，商务谈判文件将以电子档的形式发送至应答人《</w:t>
      </w:r>
    </w:p>
    <w:p>
      <w:pPr>
        <w:pStyle w:val="5"/>
        <w:bidi w:val="0"/>
        <w:rPr>
          <w:rFonts w:hint="default"/>
        </w:rPr>
      </w:pPr>
      <w:r>
        <w:rPr>
          <w:rFonts w:hint="default"/>
        </w:rPr>
        <w:t>谈判文件发售登记表》所登记的联系人邮箱；</w:t>
      </w:r>
    </w:p>
    <w:p>
      <w:pPr>
        <w:pStyle w:val="5"/>
        <w:bidi w:val="0"/>
        <w:rPr>
          <w:rFonts w:hint="default"/>
        </w:rPr>
      </w:pPr>
      <w:r>
        <w:rPr>
          <w:rFonts w:hint="default"/>
        </w:rPr>
        <w:t>（1）营业执照副本复印件加盖公章扫描件；</w:t>
      </w:r>
    </w:p>
    <w:p>
      <w:pPr>
        <w:pStyle w:val="5"/>
        <w:bidi w:val="0"/>
        <w:rPr>
          <w:rFonts w:hint="default"/>
        </w:rPr>
      </w:pPr>
      <w:r>
        <w:rPr>
          <w:rFonts w:hint="default"/>
        </w:rPr>
        <w:t>（2）开票信息表（盖章和可编辑Excel各一份）；</w:t>
      </w:r>
    </w:p>
    <w:p>
      <w:pPr>
        <w:pStyle w:val="5"/>
        <w:bidi w:val="0"/>
        <w:rPr>
          <w:rFonts w:hint="default"/>
        </w:rPr>
      </w:pPr>
      <w:r>
        <w:rPr>
          <w:rFonts w:hint="default"/>
        </w:rPr>
        <w:t>（3）标书费缴费凭证或截图；</w:t>
      </w:r>
    </w:p>
    <w:p>
      <w:pPr>
        <w:pStyle w:val="5"/>
        <w:bidi w:val="0"/>
        <w:rPr>
          <w:rFonts w:hint="default"/>
        </w:rPr>
      </w:pPr>
      <w:r>
        <w:rPr>
          <w:rFonts w:hint="default"/>
        </w:rPr>
        <w:t>（4）发售登记表并加盖公章，格式如下：（打印后手填扫描回执）</w:t>
      </w:r>
    </w:p>
    <w:tbl>
      <w:tblPr>
        <w:tblW w:w="1274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42"/>
        <w:gridCol w:w="2805"/>
        <w:gridCol w:w="2805"/>
        <w:gridCol w:w="3697"/>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tcBorders>
              <w:top w:val="nil"/>
              <w:left w:val="nil"/>
              <w:bottom w:val="single" w:color="E1E1E1" w:sz="4" w:space="0"/>
              <w:right w:val="single" w:color="E1E1E1" w:sz="4" w:space="0"/>
            </w:tcBorders>
            <w:shd w:val="clear" w:color="auto" w:fill="FFFFFF"/>
            <w:vAlign w:val="center"/>
          </w:tcPr>
          <w:p>
            <w:pPr>
              <w:pStyle w:val="5"/>
              <w:bidi w:val="0"/>
            </w:pPr>
            <w:r>
              <w:t>谈判文件发售登记表</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tcBorders>
              <w:top w:val="nil"/>
              <w:left w:val="nil"/>
              <w:bottom w:val="single" w:color="E1E1E1" w:sz="4" w:space="0"/>
              <w:right w:val="single" w:color="E1E1E1" w:sz="4" w:space="0"/>
            </w:tcBorders>
            <w:shd w:val="clear" w:color="auto" w:fill="FFFFFF"/>
            <w:vAlign w:val="center"/>
          </w:tcPr>
          <w:p>
            <w:pPr>
              <w:pStyle w:val="5"/>
              <w:bidi w:val="0"/>
            </w:pPr>
            <w:r>
              <w:t>采购人：中国电信股份有限公司曲靖分公司</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项目编号</w:t>
            </w:r>
          </w:p>
        </w:tc>
        <w:tc>
          <w:tcPr>
            <w:tcW w:w="3600" w:type="pct"/>
            <w:gridSpan w:val="3"/>
            <w:tcBorders>
              <w:top w:val="nil"/>
              <w:left w:val="nil"/>
              <w:bottom w:val="single" w:color="E1E1E1" w:sz="4" w:space="0"/>
              <w:right w:val="single" w:color="E1E1E1" w:sz="4" w:space="0"/>
            </w:tcBorders>
            <w:shd w:val="clear" w:color="auto" w:fill="FFFFFF"/>
            <w:vAlign w:val="center"/>
          </w:tcPr>
          <w:p>
            <w:pPr>
              <w:pStyle w:val="5"/>
              <w:bidi w:val="0"/>
            </w:pPr>
            <w:r>
              <w:t>XX</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项目名称</w:t>
            </w:r>
          </w:p>
        </w:tc>
        <w:tc>
          <w:tcPr>
            <w:tcW w:w="3600" w:type="pct"/>
            <w:gridSpan w:val="3"/>
            <w:tcBorders>
              <w:top w:val="nil"/>
              <w:left w:val="nil"/>
              <w:bottom w:val="single" w:color="E1E1E1" w:sz="4" w:space="0"/>
              <w:right w:val="single" w:color="E1E1E1" w:sz="4" w:space="0"/>
            </w:tcBorders>
            <w:shd w:val="clear" w:color="auto" w:fill="FFFFFF"/>
            <w:vAlign w:val="center"/>
          </w:tcPr>
          <w:p>
            <w:pPr>
              <w:pStyle w:val="5"/>
              <w:bidi w:val="0"/>
            </w:pPr>
            <w:r>
              <w:t>XX</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tcBorders>
              <w:top w:val="nil"/>
              <w:left w:val="nil"/>
              <w:bottom w:val="single" w:color="E1E1E1" w:sz="4" w:space="0"/>
              <w:right w:val="single" w:color="E1E1E1" w:sz="4" w:space="0"/>
            </w:tcBorders>
            <w:shd w:val="clear" w:color="auto" w:fill="FFFFFF"/>
            <w:vAlign w:val="center"/>
          </w:tcPr>
          <w:p>
            <w:pPr>
              <w:pStyle w:val="5"/>
              <w:bidi w:val="0"/>
            </w:pPr>
            <w:r>
              <w:t>购买文件单位信息</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单位名称</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 </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发票抬头</w:t>
            </w:r>
          </w:p>
        </w:tc>
        <w:tc>
          <w:tcPr>
            <w:tcW w:w="1350" w:type="pct"/>
            <w:tcBorders>
              <w:top w:val="nil"/>
              <w:left w:val="nil"/>
              <w:bottom w:val="single" w:color="E1E1E1" w:sz="4" w:space="0"/>
              <w:right w:val="single" w:color="E1E1E1" w:sz="4" w:space="0"/>
            </w:tcBorders>
            <w:shd w:val="clear" w:color="auto" w:fill="FFFFFF"/>
            <w:vAlign w:val="center"/>
          </w:tcPr>
          <w:p>
            <w:pPr>
              <w:pStyle w:val="5"/>
              <w:bidi w:val="0"/>
            </w:pPr>
            <w:r>
              <w:t>/</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联系人</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 </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办公电话</w:t>
            </w:r>
          </w:p>
        </w:tc>
        <w:tc>
          <w:tcPr>
            <w:tcW w:w="1350" w:type="pct"/>
            <w:tcBorders>
              <w:top w:val="nil"/>
              <w:left w:val="nil"/>
              <w:bottom w:val="single" w:color="E1E1E1" w:sz="4" w:space="0"/>
              <w:right w:val="single" w:color="E1E1E1" w:sz="4" w:space="0"/>
            </w:tcBorders>
            <w:shd w:val="clear" w:color="auto" w:fill="FFFFFF"/>
            <w:vAlign w:val="center"/>
          </w:tcPr>
          <w:p>
            <w:pPr>
              <w:pStyle w:val="5"/>
              <w:bidi w:val="0"/>
            </w:pPr>
            <w:r>
              <w:t>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电子邮件</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 </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移动电话</w:t>
            </w:r>
          </w:p>
        </w:tc>
        <w:tc>
          <w:tcPr>
            <w:tcW w:w="1350" w:type="pct"/>
            <w:tcBorders>
              <w:top w:val="nil"/>
              <w:left w:val="nil"/>
              <w:bottom w:val="single" w:color="E1E1E1" w:sz="4" w:space="0"/>
              <w:right w:val="single" w:color="E1E1E1" w:sz="4" w:space="0"/>
            </w:tcBorders>
            <w:shd w:val="clear" w:color="auto" w:fill="FFFFFF"/>
            <w:vAlign w:val="center"/>
          </w:tcPr>
          <w:p>
            <w:pPr>
              <w:pStyle w:val="5"/>
              <w:bidi w:val="0"/>
            </w:pPr>
            <w:r>
              <w:t>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应答设备制造商</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传    真</w:t>
            </w:r>
          </w:p>
        </w:tc>
        <w:tc>
          <w:tcPr>
            <w:tcW w:w="1350" w:type="pct"/>
            <w:tcBorders>
              <w:top w:val="nil"/>
              <w:left w:val="nil"/>
              <w:bottom w:val="single" w:color="E1E1E1" w:sz="4" w:space="0"/>
              <w:right w:val="single" w:color="E1E1E1" w:sz="4" w:space="0"/>
            </w:tcBorders>
            <w:shd w:val="clear" w:color="auto" w:fill="FFFFFF"/>
            <w:vAlign w:val="center"/>
          </w:tcPr>
          <w:p>
            <w:pPr>
              <w:pStyle w:val="5"/>
              <w:bidi w:val="0"/>
            </w:pPr>
            <w:r>
              <w:t>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tcBorders>
              <w:top w:val="nil"/>
              <w:left w:val="nil"/>
              <w:bottom w:val="single" w:color="E1E1E1" w:sz="4" w:space="0"/>
              <w:right w:val="single" w:color="E1E1E1" w:sz="4" w:space="0"/>
            </w:tcBorders>
            <w:shd w:val="clear" w:color="auto" w:fill="FFFFFF"/>
            <w:vAlign w:val="center"/>
          </w:tcPr>
          <w:p>
            <w:pPr>
              <w:pStyle w:val="5"/>
              <w:bidi w:val="0"/>
            </w:pPr>
            <w:r>
              <w:t>购买文件情况</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分包情况</w:t>
            </w:r>
          </w:p>
        </w:tc>
        <w:tc>
          <w:tcPr>
            <w:tcW w:w="3600" w:type="pct"/>
            <w:gridSpan w:val="3"/>
            <w:tcBorders>
              <w:top w:val="nil"/>
              <w:left w:val="nil"/>
              <w:bottom w:val="single" w:color="E1E1E1" w:sz="4" w:space="0"/>
              <w:right w:val="single" w:color="E1E1E1" w:sz="4" w:space="0"/>
            </w:tcBorders>
            <w:shd w:val="clear" w:color="auto" w:fill="FFFFFF"/>
            <w:vAlign w:val="center"/>
          </w:tcPr>
          <w:p>
            <w:pPr>
              <w:pStyle w:val="5"/>
              <w:bidi w:val="0"/>
            </w:pPr>
            <w:r>
              <w:t>无</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标书费金额</w:t>
            </w:r>
          </w:p>
        </w:tc>
        <w:tc>
          <w:tcPr>
            <w:tcW w:w="3600" w:type="pct"/>
            <w:gridSpan w:val="3"/>
            <w:tcBorders>
              <w:top w:val="nil"/>
              <w:left w:val="nil"/>
              <w:bottom w:val="single" w:color="E1E1E1" w:sz="4" w:space="0"/>
              <w:right w:val="single" w:color="E1E1E1" w:sz="4" w:space="0"/>
            </w:tcBorders>
            <w:shd w:val="clear" w:color="auto" w:fill="FFFFFF"/>
            <w:vAlign w:val="center"/>
          </w:tcPr>
          <w:p>
            <w:pPr>
              <w:pStyle w:val="5"/>
              <w:bidi w:val="0"/>
            </w:pPr>
            <w:r>
              <w:t>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份    数</w:t>
            </w:r>
          </w:p>
        </w:tc>
        <w:tc>
          <w:tcPr>
            <w:tcW w:w="3600" w:type="pct"/>
            <w:gridSpan w:val="3"/>
            <w:tcBorders>
              <w:top w:val="nil"/>
              <w:left w:val="nil"/>
              <w:bottom w:val="single" w:color="E1E1E1" w:sz="4" w:space="0"/>
              <w:right w:val="single" w:color="E1E1E1" w:sz="4" w:space="0"/>
            </w:tcBorders>
            <w:shd w:val="clear" w:color="auto" w:fill="FFFFFF"/>
            <w:vAlign w:val="center"/>
          </w:tcPr>
          <w:p>
            <w:pPr>
              <w:pStyle w:val="5"/>
              <w:bidi w:val="0"/>
            </w:pPr>
            <w:r>
              <w:t>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日    期</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 </w:t>
            </w:r>
          </w:p>
        </w:tc>
        <w:tc>
          <w:tcPr>
            <w:tcW w:w="2450" w:type="pct"/>
            <w:gridSpan w:val="2"/>
            <w:vMerge w:val="restart"/>
            <w:tcBorders>
              <w:top w:val="nil"/>
              <w:left w:val="nil"/>
              <w:bottom w:val="single" w:color="E1E1E1" w:sz="4" w:space="0"/>
              <w:right w:val="single" w:color="E1E1E1" w:sz="4" w:space="0"/>
            </w:tcBorders>
            <w:shd w:val="clear" w:color="auto" w:fill="FFFFFF"/>
            <w:vAlign w:val="center"/>
          </w:tcPr>
          <w:p>
            <w:pPr>
              <w:pStyle w:val="5"/>
              <w:bidi w:val="0"/>
            </w:pPr>
            <w:r>
              <w:t>购买人签名（手签）:</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pct"/>
            <w:tcBorders>
              <w:top w:val="nil"/>
              <w:left w:val="nil"/>
              <w:bottom w:val="single" w:color="E1E1E1" w:sz="4" w:space="0"/>
              <w:right w:val="single" w:color="E1E1E1" w:sz="4" w:space="0"/>
            </w:tcBorders>
            <w:shd w:val="clear" w:color="auto" w:fill="FFFFFF"/>
            <w:vAlign w:val="center"/>
          </w:tcPr>
          <w:p>
            <w:pPr>
              <w:pStyle w:val="5"/>
              <w:bidi w:val="0"/>
            </w:pPr>
            <w:r>
              <w:t>备    注</w:t>
            </w:r>
          </w:p>
        </w:tc>
        <w:tc>
          <w:tcPr>
            <w:tcW w:w="1100" w:type="pct"/>
            <w:tcBorders>
              <w:top w:val="nil"/>
              <w:left w:val="nil"/>
              <w:bottom w:val="single" w:color="E1E1E1" w:sz="4" w:space="0"/>
              <w:right w:val="single" w:color="E1E1E1" w:sz="4" w:space="0"/>
            </w:tcBorders>
            <w:shd w:val="clear" w:color="auto" w:fill="FFFFFF"/>
            <w:vAlign w:val="center"/>
          </w:tcPr>
          <w:p>
            <w:pPr>
              <w:pStyle w:val="5"/>
              <w:bidi w:val="0"/>
            </w:pPr>
            <w:r>
              <w:t> </w:t>
            </w:r>
          </w:p>
        </w:tc>
        <w:tc>
          <w:tcPr>
            <w:tcW w:w="2450" w:type="pct"/>
            <w:gridSpan w:val="2"/>
            <w:vMerge w:val="continue"/>
            <w:tcBorders>
              <w:top w:val="nil"/>
              <w:left w:val="nil"/>
              <w:bottom w:val="single" w:color="E1E1E1" w:sz="4" w:space="0"/>
              <w:right w:val="single" w:color="E1E1E1" w:sz="4" w:space="0"/>
            </w:tcBorders>
            <w:shd w:val="clear" w:color="auto" w:fill="FFFFFF"/>
            <w:vAlign w:val="center"/>
          </w:tcPr>
          <w:p>
            <w:pPr>
              <w:pStyle w:val="5"/>
              <w:bidi w:val="0"/>
              <w:rPr>
                <w:rFonts w:hint="eastAsia"/>
              </w:rPr>
            </w:pPr>
          </w:p>
        </w:tc>
      </w:tr>
    </w:tbl>
    <w:p>
      <w:pPr>
        <w:pStyle w:val="5"/>
        <w:bidi w:val="0"/>
        <w:rPr>
          <w:rFonts w:hint="default"/>
        </w:rPr>
      </w:pPr>
      <w:r>
        <w:rPr>
          <w:rFonts w:hint="default"/>
        </w:rPr>
        <w:t>注：应答人应保证提供的材料完整、清楚、准确，否则由此导致信息错误造成的损失由供应商承担！</w:t>
      </w:r>
    </w:p>
    <w:p>
      <w:pPr>
        <w:pStyle w:val="5"/>
        <w:bidi w:val="0"/>
        <w:rPr>
          <w:rFonts w:hint="default"/>
        </w:rPr>
      </w:pPr>
      <w:r>
        <w:rPr>
          <w:rFonts w:hint="default"/>
        </w:rPr>
        <w:t>3.3商务谈判文件每套售价100.00元人民币，售后不退。</w:t>
      </w:r>
    </w:p>
    <w:p>
      <w:pPr>
        <w:pStyle w:val="5"/>
        <w:bidi w:val="0"/>
        <w:rPr>
          <w:rFonts w:hint="default"/>
        </w:rPr>
      </w:pPr>
      <w:r>
        <w:rPr>
          <w:rFonts w:hint="default"/>
        </w:rPr>
        <w:t>商务谈判文件费用汇款账号信息详见第一章“7.联系方式”。（请电汇时备注：公司（简称）+项目名称（简称）+标书费）。</w:t>
      </w:r>
    </w:p>
    <w:p>
      <w:pPr>
        <w:pStyle w:val="5"/>
        <w:bidi w:val="0"/>
        <w:rPr>
          <w:rFonts w:hint="default"/>
        </w:rPr>
      </w:pPr>
      <w:r>
        <w:rPr>
          <w:rFonts w:hint="default"/>
        </w:rPr>
        <w:t>4.</w:t>
      </w:r>
    </w:p>
    <w:p>
      <w:pPr>
        <w:pStyle w:val="5"/>
        <w:bidi w:val="0"/>
        <w:rPr>
          <w:rFonts w:hint="default"/>
        </w:rPr>
      </w:pPr>
      <w:r>
        <w:rPr>
          <w:rFonts w:hint="default"/>
        </w:rPr>
        <w:t>应答文件的递交</w:t>
      </w:r>
    </w:p>
    <w:p>
      <w:pPr>
        <w:pStyle w:val="5"/>
        <w:bidi w:val="0"/>
        <w:rPr>
          <w:rFonts w:hint="default"/>
        </w:rPr>
      </w:pPr>
      <w:r>
        <w:rPr>
          <w:rFonts w:hint="default"/>
        </w:rPr>
        <w:t>应答文件递交截止时间（即应答截止时间）和递交地点：应答文件递交的截止时间为〔2024年12月23日15时20分〕，递交地点为〔曲靖市翠峰东路中段-中国电信曲靖分公司办公楼308会议室〕。逾期送达的应答文件将被拒绝。</w:t>
      </w:r>
    </w:p>
    <w:p>
      <w:pPr>
        <w:pStyle w:val="5"/>
        <w:bidi w:val="0"/>
        <w:rPr>
          <w:rFonts w:hint="default"/>
        </w:rPr>
      </w:pPr>
      <w:r>
        <w:rPr>
          <w:rFonts w:hint="default"/>
        </w:rPr>
        <w:t>第一轮谈判时间和地点：本次竞争性谈判将于上述应答文件递交截止的同一时间、同一地点进行，邀请所有递交应答文件的供应商的法定代表人或其授权代表准时参加。</w:t>
      </w:r>
    </w:p>
    <w:p>
      <w:pPr>
        <w:pStyle w:val="5"/>
        <w:bidi w:val="0"/>
        <w:rPr>
          <w:rFonts w:hint="default"/>
        </w:rPr>
      </w:pPr>
      <w:r>
        <w:rPr>
          <w:rFonts w:hint="default"/>
        </w:rPr>
        <w:t>4.1出现以下情形时，不予接收应答文件：</w:t>
      </w:r>
    </w:p>
    <w:p>
      <w:pPr>
        <w:pStyle w:val="5"/>
        <w:bidi w:val="0"/>
        <w:rPr>
          <w:rFonts w:hint="default"/>
        </w:rPr>
      </w:pPr>
      <w:r>
        <w:rPr>
          <w:rFonts w:hint="default"/>
        </w:rPr>
        <w:t>4.1.1逾期送达或者未送达指定地点的；</w:t>
      </w:r>
    </w:p>
    <w:p>
      <w:pPr>
        <w:pStyle w:val="5"/>
        <w:bidi w:val="0"/>
        <w:rPr>
          <w:rFonts w:hint="default"/>
        </w:rPr>
      </w:pPr>
      <w:r>
        <w:rPr>
          <w:rFonts w:hint="default"/>
        </w:rPr>
        <w:t>4.1.2未按照本竞争性谈判公告要求获得本项目竞争性谈判文件的；</w:t>
      </w:r>
    </w:p>
    <w:p>
      <w:pPr>
        <w:pStyle w:val="5"/>
        <w:bidi w:val="0"/>
        <w:rPr>
          <w:rFonts w:hint="default"/>
        </w:rPr>
      </w:pPr>
      <w:r>
        <w:rPr>
          <w:rFonts w:hint="default"/>
        </w:rPr>
        <w:t>4.1.3竞争性谈判文件规定的其他情形。</w:t>
      </w:r>
    </w:p>
    <w:p>
      <w:pPr>
        <w:pStyle w:val="5"/>
        <w:bidi w:val="0"/>
        <w:rPr>
          <w:rFonts w:hint="default"/>
        </w:rPr>
      </w:pPr>
      <w:r>
        <w:rPr>
          <w:rFonts w:hint="default"/>
        </w:rPr>
        <w:t>5.</w:t>
      </w:r>
    </w:p>
    <w:p>
      <w:pPr>
        <w:pStyle w:val="5"/>
        <w:bidi w:val="0"/>
        <w:rPr>
          <w:rFonts w:hint="default"/>
        </w:rPr>
      </w:pPr>
      <w:r>
        <w:rPr>
          <w:rFonts w:hint="default"/>
        </w:rPr>
        <w:t>供应商注册</w:t>
      </w:r>
    </w:p>
    <w:p>
      <w:pPr>
        <w:pStyle w:val="5"/>
        <w:bidi w:val="0"/>
        <w:rPr>
          <w:rFonts w:hint="default"/>
        </w:rPr>
      </w:pPr>
      <w:r>
        <w:rPr>
          <w:rFonts w:hint="default"/>
        </w:rPr>
        <w:t>供应商须在购买竞争性谈判文件后5日内，通过中国电信阳光采购网（https://caigou.chinatelecom.com.cn）完成供应商注册。</w:t>
      </w:r>
    </w:p>
    <w:p>
      <w:pPr>
        <w:pStyle w:val="5"/>
        <w:bidi w:val="0"/>
        <w:rPr>
          <w:rFonts w:hint="default"/>
        </w:rPr>
      </w:pPr>
      <w:r>
        <w:rPr>
          <w:rFonts w:hint="default"/>
        </w:rPr>
        <w:t>6.</w:t>
      </w:r>
    </w:p>
    <w:p>
      <w:pPr>
        <w:pStyle w:val="5"/>
        <w:bidi w:val="0"/>
        <w:rPr>
          <w:rFonts w:hint="default"/>
        </w:rPr>
      </w:pPr>
      <w:r>
        <w:rPr>
          <w:rFonts w:hint="default"/>
        </w:rPr>
        <w:t>发布公告的媒介</w:t>
      </w:r>
    </w:p>
    <w:p>
      <w:pPr>
        <w:pStyle w:val="5"/>
        <w:bidi w:val="0"/>
        <w:rPr>
          <w:rFonts w:hint="default"/>
        </w:rPr>
      </w:pPr>
      <w:r>
        <w:rPr>
          <w:rFonts w:hint="default"/>
        </w:rPr>
        <w:t>本竞争性谈判公告仅在中国电信阳光采购网（https://caigou.chinatelecom.com.cn）上发布，其他媒介转载无效。</w:t>
      </w:r>
    </w:p>
    <w:p>
      <w:pPr>
        <w:pStyle w:val="5"/>
        <w:bidi w:val="0"/>
        <w:rPr>
          <w:rFonts w:hint="default"/>
        </w:rPr>
      </w:pPr>
      <w:r>
        <w:rPr>
          <w:rFonts w:hint="default"/>
        </w:rPr>
        <w:t>7.</w:t>
      </w:r>
    </w:p>
    <w:p>
      <w:pPr>
        <w:pStyle w:val="5"/>
        <w:bidi w:val="0"/>
        <w:rPr>
          <w:rFonts w:hint="default"/>
        </w:rPr>
      </w:pPr>
      <w:r>
        <w:rPr>
          <w:rFonts w:hint="default"/>
        </w:rPr>
        <w:t>联系方式</w:t>
      </w:r>
    </w:p>
    <w:tbl>
      <w:tblPr>
        <w:tblW w:w="12749" w:type="dxa"/>
        <w:tblInd w:w="-15" w:type="dxa"/>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28"/>
        <w:gridCol w:w="6321"/>
      </w:tblGrid>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采购人：中国电信股份有限公司曲靖分公司</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采购人代理机构：北京诚公管理咨询有限公司</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地  址：曲靖市翠峰东路中段</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地    址：昆明市官渡区关兴花园商务楼315</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邮  编：/</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邮    编：650200</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联系人：戴师</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联 系 人：罗银红、于广龙、蒋伟举</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电话：0874-3330219</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电 话：15887916640</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传 真： /</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传    真：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电子邮件： /</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电子邮件：luoyinhong.zgtj@chinaccs.cn</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网    址： /</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网    址： /</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开户银行： /</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开户银行：中国建设银行北京广安门支行</w:t>
            </w:r>
          </w:p>
        </w:tc>
      </w:tr>
      <w:tr>
        <w:tblPrEx>
          <w:tblBorders>
            <w:top w:val="single" w:color="E1E1E1" w:sz="4" w:space="0"/>
            <w:left w:val="single" w:color="E1E1E1" w:sz="4"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60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账    号： /</w:t>
            </w:r>
          </w:p>
        </w:tc>
        <w:tc>
          <w:tcPr>
            <w:tcW w:w="3540" w:type="dxa"/>
            <w:tcBorders>
              <w:top w:val="nil"/>
              <w:left w:val="nil"/>
              <w:bottom w:val="single" w:color="E1E1E1" w:sz="4" w:space="0"/>
              <w:right w:val="single" w:color="E1E1E1" w:sz="4" w:space="0"/>
            </w:tcBorders>
            <w:shd w:val="clear" w:color="auto" w:fill="FFFFFF"/>
            <w:vAlign w:val="center"/>
          </w:tcPr>
          <w:p>
            <w:pPr>
              <w:pStyle w:val="5"/>
              <w:bidi w:val="0"/>
            </w:pPr>
            <w:r>
              <w:rPr>
                <w:rFonts w:hint="default"/>
              </w:rPr>
              <w:t>账    号：11001042200056069452-0021</w:t>
            </w:r>
          </w:p>
        </w:tc>
      </w:tr>
    </w:tbl>
    <w:p>
      <w:pPr>
        <w:pStyle w:val="5"/>
        <w:bidi w:val="0"/>
        <w:rPr>
          <w:rFonts w:hint="default"/>
        </w:rPr>
      </w:pPr>
      <w:r>
        <w:rPr>
          <w:rFonts w:hint="default"/>
        </w:rPr>
        <w:t>采购人：中国电信股份有限公司曲靖分公司</w:t>
      </w:r>
    </w:p>
    <w:p>
      <w:pPr>
        <w:pStyle w:val="5"/>
        <w:bidi w:val="0"/>
        <w:rPr>
          <w:rFonts w:hint="default"/>
        </w:rPr>
      </w:pPr>
      <w:r>
        <w:rPr>
          <w:rFonts w:hint="default"/>
        </w:rPr>
        <w:t>采购代理机构：北京诚公管理咨询有限公司</w:t>
      </w:r>
    </w:p>
    <w:p>
      <w:pPr>
        <w:pStyle w:val="5"/>
        <w:bidi w:val="0"/>
        <w:rPr>
          <w:rFonts w:hint="default"/>
        </w:rPr>
      </w:pPr>
      <w:r>
        <w:rPr>
          <w:rFonts w:hint="default"/>
        </w:rPr>
        <w:t>2024年12月17日</w:t>
      </w:r>
    </w:p>
    <w:p>
      <w:pPr>
        <w:pStyle w:val="5"/>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mZTM4MmNhODlmMTU2MGVhYjYxZmQzMGI2MjkxZmEifQ=="/>
  </w:docVars>
  <w:rsids>
    <w:rsidRoot w:val="00000000"/>
    <w:rsid w:val="006D14E4"/>
    <w:rsid w:val="0088167A"/>
    <w:rsid w:val="00FF2949"/>
    <w:rsid w:val="01A77F90"/>
    <w:rsid w:val="01E74AF8"/>
    <w:rsid w:val="02313BC8"/>
    <w:rsid w:val="028E7F1C"/>
    <w:rsid w:val="04920DD5"/>
    <w:rsid w:val="06160451"/>
    <w:rsid w:val="06196496"/>
    <w:rsid w:val="06314636"/>
    <w:rsid w:val="082B1153"/>
    <w:rsid w:val="08322B97"/>
    <w:rsid w:val="08836AA8"/>
    <w:rsid w:val="08D85B04"/>
    <w:rsid w:val="09A67E9A"/>
    <w:rsid w:val="0BDE42D9"/>
    <w:rsid w:val="0CF07103"/>
    <w:rsid w:val="0CFF4439"/>
    <w:rsid w:val="0D4F1D7F"/>
    <w:rsid w:val="0D7625FA"/>
    <w:rsid w:val="128601B8"/>
    <w:rsid w:val="12F269B0"/>
    <w:rsid w:val="13FB5DE1"/>
    <w:rsid w:val="1570445D"/>
    <w:rsid w:val="15854920"/>
    <w:rsid w:val="169D755C"/>
    <w:rsid w:val="16C43102"/>
    <w:rsid w:val="176E2767"/>
    <w:rsid w:val="17726A4F"/>
    <w:rsid w:val="193F53E9"/>
    <w:rsid w:val="19AD2B3C"/>
    <w:rsid w:val="1BCA7CE3"/>
    <w:rsid w:val="1C77242F"/>
    <w:rsid w:val="1CA06538"/>
    <w:rsid w:val="1CA41840"/>
    <w:rsid w:val="1E65770F"/>
    <w:rsid w:val="1ECD6093"/>
    <w:rsid w:val="1F054E46"/>
    <w:rsid w:val="1FE8289C"/>
    <w:rsid w:val="2003722D"/>
    <w:rsid w:val="20AB2D86"/>
    <w:rsid w:val="21386965"/>
    <w:rsid w:val="220E2F82"/>
    <w:rsid w:val="222D693B"/>
    <w:rsid w:val="22610228"/>
    <w:rsid w:val="23E85BDC"/>
    <w:rsid w:val="245F68C2"/>
    <w:rsid w:val="24684968"/>
    <w:rsid w:val="26160BB7"/>
    <w:rsid w:val="27A054A9"/>
    <w:rsid w:val="284E4230"/>
    <w:rsid w:val="28EC5B05"/>
    <w:rsid w:val="2C1120D8"/>
    <w:rsid w:val="2D0C1336"/>
    <w:rsid w:val="2D134532"/>
    <w:rsid w:val="2D875C39"/>
    <w:rsid w:val="2DAB5F62"/>
    <w:rsid w:val="2E4E794C"/>
    <w:rsid w:val="2F1B38EC"/>
    <w:rsid w:val="2FFA4863"/>
    <w:rsid w:val="320622E1"/>
    <w:rsid w:val="3226247D"/>
    <w:rsid w:val="32C5003C"/>
    <w:rsid w:val="32ED3E13"/>
    <w:rsid w:val="336B1BED"/>
    <w:rsid w:val="338C7AA0"/>
    <w:rsid w:val="34547FD9"/>
    <w:rsid w:val="35781FB2"/>
    <w:rsid w:val="358A1C80"/>
    <w:rsid w:val="360843ED"/>
    <w:rsid w:val="369A57F5"/>
    <w:rsid w:val="37024FE0"/>
    <w:rsid w:val="3790558F"/>
    <w:rsid w:val="37B54763"/>
    <w:rsid w:val="389F1D9A"/>
    <w:rsid w:val="39F65FCD"/>
    <w:rsid w:val="3B11629F"/>
    <w:rsid w:val="3D8F386E"/>
    <w:rsid w:val="3E071A22"/>
    <w:rsid w:val="3E5071C0"/>
    <w:rsid w:val="3F36641A"/>
    <w:rsid w:val="40226021"/>
    <w:rsid w:val="40B70AEB"/>
    <w:rsid w:val="40C3324D"/>
    <w:rsid w:val="42CA7ADC"/>
    <w:rsid w:val="43312C91"/>
    <w:rsid w:val="43736B1B"/>
    <w:rsid w:val="439C5FC6"/>
    <w:rsid w:val="43CE7BBE"/>
    <w:rsid w:val="43EB4BBE"/>
    <w:rsid w:val="447F3177"/>
    <w:rsid w:val="45120D7E"/>
    <w:rsid w:val="4591223E"/>
    <w:rsid w:val="464150C4"/>
    <w:rsid w:val="46823922"/>
    <w:rsid w:val="46E81375"/>
    <w:rsid w:val="472F22BF"/>
    <w:rsid w:val="477B5459"/>
    <w:rsid w:val="47A80B8C"/>
    <w:rsid w:val="486724FC"/>
    <w:rsid w:val="489444DF"/>
    <w:rsid w:val="48B623EC"/>
    <w:rsid w:val="48BF20E4"/>
    <w:rsid w:val="48C57D3A"/>
    <w:rsid w:val="49B51300"/>
    <w:rsid w:val="4A2E0382"/>
    <w:rsid w:val="4A4E009C"/>
    <w:rsid w:val="4ADC6EC5"/>
    <w:rsid w:val="4B8F4906"/>
    <w:rsid w:val="4C265427"/>
    <w:rsid w:val="4D341529"/>
    <w:rsid w:val="4D780BFC"/>
    <w:rsid w:val="4F1950B9"/>
    <w:rsid w:val="501A1DF4"/>
    <w:rsid w:val="50D95BC1"/>
    <w:rsid w:val="51D66843"/>
    <w:rsid w:val="51DC12F0"/>
    <w:rsid w:val="54067258"/>
    <w:rsid w:val="54676313"/>
    <w:rsid w:val="554806B9"/>
    <w:rsid w:val="56E56795"/>
    <w:rsid w:val="577D0E0F"/>
    <w:rsid w:val="585D0802"/>
    <w:rsid w:val="5871283D"/>
    <w:rsid w:val="58C93F53"/>
    <w:rsid w:val="5A6A7454"/>
    <w:rsid w:val="5AA9366F"/>
    <w:rsid w:val="5C077AEB"/>
    <w:rsid w:val="5C613632"/>
    <w:rsid w:val="5D953784"/>
    <w:rsid w:val="5E51679F"/>
    <w:rsid w:val="5EA375F3"/>
    <w:rsid w:val="5ED703E7"/>
    <w:rsid w:val="5F703DF6"/>
    <w:rsid w:val="611663A3"/>
    <w:rsid w:val="61BB666B"/>
    <w:rsid w:val="64E11401"/>
    <w:rsid w:val="64FC0507"/>
    <w:rsid w:val="65946256"/>
    <w:rsid w:val="65CA35F2"/>
    <w:rsid w:val="661E7E0D"/>
    <w:rsid w:val="662814FF"/>
    <w:rsid w:val="669877D9"/>
    <w:rsid w:val="66AD6211"/>
    <w:rsid w:val="66E56111"/>
    <w:rsid w:val="67404B22"/>
    <w:rsid w:val="678D7998"/>
    <w:rsid w:val="67D005C1"/>
    <w:rsid w:val="68A70127"/>
    <w:rsid w:val="68B252F2"/>
    <w:rsid w:val="68B303D7"/>
    <w:rsid w:val="6A95677E"/>
    <w:rsid w:val="6AAC33D6"/>
    <w:rsid w:val="6B22604A"/>
    <w:rsid w:val="6C371ED9"/>
    <w:rsid w:val="6C3E14DA"/>
    <w:rsid w:val="6C5D34CF"/>
    <w:rsid w:val="6D0B6D9C"/>
    <w:rsid w:val="6D5738BE"/>
    <w:rsid w:val="6D7F67BA"/>
    <w:rsid w:val="701A647E"/>
    <w:rsid w:val="709A5D3F"/>
    <w:rsid w:val="71797041"/>
    <w:rsid w:val="72F007CC"/>
    <w:rsid w:val="736B3688"/>
    <w:rsid w:val="75260C32"/>
    <w:rsid w:val="754F1B32"/>
    <w:rsid w:val="75FB2747"/>
    <w:rsid w:val="760C6208"/>
    <w:rsid w:val="76875C8C"/>
    <w:rsid w:val="76A44E6D"/>
    <w:rsid w:val="76D1586C"/>
    <w:rsid w:val="782F7A87"/>
    <w:rsid w:val="78E804A3"/>
    <w:rsid w:val="79711AA2"/>
    <w:rsid w:val="79CB0764"/>
    <w:rsid w:val="79E87F2D"/>
    <w:rsid w:val="7A257BE6"/>
    <w:rsid w:val="7B2009DF"/>
    <w:rsid w:val="7B9017EA"/>
    <w:rsid w:val="7BF90B7B"/>
    <w:rsid w:val="7C417C76"/>
    <w:rsid w:val="7CA87424"/>
    <w:rsid w:val="7D191F1A"/>
    <w:rsid w:val="7DED342B"/>
    <w:rsid w:val="7E0F245D"/>
    <w:rsid w:val="7EFD3238"/>
    <w:rsid w:val="7FBA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Emphasis"/>
    <w:basedOn w:val="7"/>
    <w:autoRedefine/>
    <w:qFormat/>
    <w:uiPriority w:val="0"/>
    <w:rPr>
      <w:i/>
    </w:rPr>
  </w:style>
  <w:style w:type="character" w:styleId="10">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2024-11-27T09:08:00Z</dcterms:created>
  <dc:creator>yj</dc:creator>
  <cp:lastModifiedBy>yj</cp:lastModifiedBy>
  <dcterms:modified xsi:type="dcterms:W3CDTF">2024-12-17T09:20:50Z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E20B9927AE074AF4ADD9587D4D8C158C_12</vt:lpwstr>
  </property>
</Properties>
</file>